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安平镇人民政府</w:t>
      </w:r>
      <w:r>
        <w:rPr>
          <w:rFonts w:ascii="Times New Roman" w:hAnsi="Times New Roman" w:eastAsia="方正小标宋简体" w:cs="Times New Roman"/>
          <w:sz w:val="44"/>
          <w:szCs w:val="44"/>
        </w:rPr>
        <w:t>2022年部门预算信息公开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香河县安平镇人民政府</w:t>
      </w:r>
      <w:r>
        <w:rPr>
          <w:rFonts w:ascii="Times New Roman" w:hAnsi="Times New Roman" w:eastAsia="仿宋_GB2312" w:cs="Times New Roman"/>
          <w:sz w:val="32"/>
          <w:szCs w:val="32"/>
        </w:rPr>
        <w:t>2022年部门预算公开如下：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部门职责：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根据《安平镇职能配置、内设机构和人员编制规定》， 安平镇的主要职责是：</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镇党委、政府处于领导农业和农村工作的第一线，承担着建设社会主义新农村的光荣使命。镇党委按照便于集中统一领导、便于有效开展工作的要求，进一步理顺党委与政府及人民团体的职责分工，抓好党在农村各项方针政策的落实，加强基层组织和政权建设。紧紧围绕加快农业和农村经济结构战略性调整，抓好“两个文明”建设，加强对镇各项工作的统一领导，充分发挥总揽全局、协调各方面的领导核心作用。镇政府按照社会主义市场经济的客观要求，加强农村社会主义民主政治和法制建设，依法行政，规范管理；加强对农业和农村工作的指导，深化农村改革，全面发展农村经济；进一步增强镇政府统一管理经济、教育、科学、文化、卫生、体育事业和财政、民政、土地、计划生育等行政工作的职能，推进农村经济和社会的全面发展，实现共同富裕。强化引导功能，集中精力抓好党的农村工作方针政策的落实，抓好基层政策建设和农村产业结构调整等带有方向性和全局性的工作，引导农村富余劳动力向小城镇转移，促进农村的现代化建设。强化服务功能，着重在技术、信息、人才、资金等方向为农民提供服务，为镇企业发展创造条件，大力培育和发展各类经济服务实体和社会中介组织，推动农业产业化服务体系的发展与完善，搞好产前、产中、产后服务，努力增加农民收入，减轻财政和农民负担。强化协调功能，使事业站所以及基层工商、税务等机构，能够围绕镇工作“一盘棋”互相配合。同时，进一步规范镇政府和村级组织的工作职能作用。镇党委、政府作为党在农村的基层组织和基层政权，对本地经济和社会发展负有领导责任，具有综合管理和协调的功能。进一步理顺县镇关系，建立以块为主、条块结合的行政管理体制。。</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tabs>
                <w:tab w:val="center" w:pos="2177"/>
                <w:tab w:val="right" w:pos="4227"/>
              </w:tabs>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香河县安平镇人民政府</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部门预算的编制实行综合预算制度，即全部收入和支出都反映在预算中。香河县</w:t>
      </w:r>
      <w:r>
        <w:rPr>
          <w:rFonts w:hint="eastAsia" w:ascii="Times New Roman" w:hAnsi="Times New Roman" w:eastAsia="仿宋_GB2312" w:cs="Times New Roman"/>
          <w:sz w:val="32"/>
          <w:szCs w:val="32"/>
          <w:lang w:eastAsia="zh-CN"/>
        </w:rPr>
        <w:t>安平镇人民政府</w:t>
      </w:r>
      <w:r>
        <w:rPr>
          <w:rFonts w:ascii="Times New Roman" w:hAnsi="Times New Roman" w:eastAsia="仿宋_GB2312" w:cs="Times New Roman"/>
          <w:sz w:val="32"/>
          <w:szCs w:val="32"/>
        </w:rPr>
        <w:t>机关</w:t>
      </w:r>
      <w:r>
        <w:rPr>
          <w:rFonts w:ascii="Times New Roman" w:hAnsi="Times New Roman" w:eastAsia="仿宋_GB2312" w:cs="Times New Roman"/>
          <w:color w:val="auto"/>
          <w:sz w:val="32"/>
          <w:szCs w:val="32"/>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反映本部门当年全部收入。2022年预算收入</w:t>
      </w:r>
      <w:r>
        <w:rPr>
          <w:rFonts w:hint="eastAsia" w:ascii="Times New Roman" w:hAnsi="Times New Roman" w:eastAsia="仿宋_GB2312" w:cs="Times New Roman"/>
          <w:sz w:val="32"/>
          <w:szCs w:val="32"/>
          <w:lang w:val="en-US" w:eastAsia="zh-CN"/>
        </w:rPr>
        <w:t>4745.41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4745.41</w:t>
      </w:r>
      <w:r>
        <w:rPr>
          <w:rFonts w:ascii="Times New Roman" w:hAnsi="Times New Roman" w:eastAsia="仿宋_GB2312" w:cs="Times New Roman"/>
          <w:sz w:val="32"/>
          <w:szCs w:val="32"/>
        </w:rPr>
        <w:t>万元，基金预算收入</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eastAsia="zh-CN"/>
        </w:rPr>
        <w:t>安平镇人民政府</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年度部门预算中支出预算的总体情况。2022年支出预算</w:t>
      </w:r>
      <w:r>
        <w:rPr>
          <w:rFonts w:hint="eastAsia" w:ascii="Times New Roman" w:hAnsi="Times New Roman" w:eastAsia="仿宋_GB2312" w:cs="Times New Roman"/>
          <w:sz w:val="32"/>
          <w:szCs w:val="32"/>
          <w:lang w:val="en-US" w:eastAsia="zh-CN"/>
        </w:rPr>
        <w:t>4745.41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1946.22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1595.06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351.16</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2799.19</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2799.19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老夏安线道路两侧景观提升工程资金(本级）</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老夏安线两侧绿化带养护资金（本级）</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服务群众专项经费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left="319" w:leftChars="152" w:firstLine="652" w:firstLineChars="204"/>
        <w:rPr>
          <w:rFonts w:ascii="Times New Roman" w:hAnsi="Times New Roman" w:eastAsia="仿宋_GB2312" w:cs="Times New Roman"/>
          <w:sz w:val="32"/>
          <w:szCs w:val="32"/>
        </w:rPr>
      </w:pPr>
      <w:r>
        <w:rPr>
          <w:rFonts w:ascii="Times New Roman" w:hAnsi="Times New Roman" w:eastAsia="仿宋_GB2312" w:cs="Times New Roman"/>
          <w:sz w:val="32"/>
          <w:szCs w:val="32"/>
        </w:rPr>
        <w:t>2022年预算收支安排</w:t>
      </w:r>
      <w:r>
        <w:rPr>
          <w:rFonts w:hint="eastAsia" w:ascii="Times New Roman" w:hAnsi="Times New Roman" w:eastAsia="仿宋_GB2312" w:cs="Times New Roman"/>
          <w:sz w:val="32"/>
          <w:szCs w:val="32"/>
          <w:lang w:val="en-US" w:eastAsia="zh-CN"/>
        </w:rPr>
        <w:t>4745.41</w:t>
      </w:r>
      <w:r>
        <w:rPr>
          <w:rFonts w:ascii="Times New Roman" w:hAnsi="Times New Roman" w:eastAsia="仿宋_GB2312" w:cs="Times New Roman"/>
          <w:sz w:val="32"/>
          <w:szCs w:val="32"/>
        </w:rPr>
        <w:t>万元，较2021年</w:t>
      </w:r>
      <w:r>
        <w:rPr>
          <w:rFonts w:ascii="Times New Roman" w:hAnsi="Times New Roman" w:eastAsia="仿宋_GB2312" w:cs="Times New Roman"/>
          <w:color w:val="auto"/>
          <w:sz w:val="32"/>
          <w:szCs w:val="32"/>
          <w:highlight w:val="none"/>
        </w:rPr>
        <w:t>预算减少</w:t>
      </w:r>
      <w:r>
        <w:rPr>
          <w:rFonts w:hint="eastAsia" w:ascii="Times New Roman" w:hAnsi="Times New Roman" w:eastAsia="仿宋_GB2312" w:cs="Times New Roman"/>
          <w:color w:val="auto"/>
          <w:sz w:val="32"/>
          <w:szCs w:val="32"/>
          <w:highlight w:val="none"/>
          <w:lang w:val="en-US" w:eastAsia="zh-CN"/>
        </w:rPr>
        <w:t>6563.8</w:t>
      </w:r>
      <w:r>
        <w:rPr>
          <w:rFonts w:ascii="Times New Roman" w:hAnsi="Times New Roman" w:eastAsia="仿宋_GB2312" w:cs="Times New Roman"/>
          <w:sz w:val="32"/>
          <w:szCs w:val="32"/>
        </w:rPr>
        <w:t>万元，其中：基</w:t>
      </w:r>
      <w:r>
        <w:rPr>
          <w:rFonts w:ascii="Times New Roman" w:hAnsi="Times New Roman" w:eastAsia="仿宋_GB2312" w:cs="Times New Roman"/>
          <w:color w:val="auto"/>
          <w:sz w:val="32"/>
          <w:szCs w:val="32"/>
          <w:highlight w:val="none"/>
        </w:rPr>
        <w:t>本支出减少</w:t>
      </w:r>
      <w:r>
        <w:rPr>
          <w:rFonts w:hint="eastAsia" w:ascii="Times New Roman" w:hAnsi="Times New Roman" w:eastAsia="仿宋_GB2312" w:cs="Times New Roman"/>
          <w:color w:val="auto"/>
          <w:sz w:val="32"/>
          <w:szCs w:val="32"/>
          <w:highlight w:val="none"/>
          <w:lang w:val="en-US" w:eastAsia="zh-CN"/>
        </w:rPr>
        <w:t>418.68</w:t>
      </w:r>
      <w:r>
        <w:rPr>
          <w:rFonts w:ascii="Times New Roman" w:hAnsi="Times New Roman" w:eastAsia="仿宋_GB2312" w:cs="Times New Roman"/>
          <w:color w:val="auto"/>
          <w:sz w:val="32"/>
          <w:szCs w:val="32"/>
          <w:highlight w:val="none"/>
        </w:rPr>
        <w:t>万</w:t>
      </w:r>
      <w:r>
        <w:rPr>
          <w:rFonts w:ascii="Times New Roman" w:hAnsi="Times New Roman" w:eastAsia="仿宋_GB2312" w:cs="Times New Roman"/>
          <w:sz w:val="32"/>
          <w:szCs w:val="32"/>
        </w:rPr>
        <w:t>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w:t>
      </w:r>
      <w:r>
        <w:rPr>
          <w:rFonts w:ascii="Times New Roman" w:hAnsi="Times New Roman" w:eastAsia="仿宋_GB2312" w:cs="Times New Roman"/>
          <w:color w:val="auto"/>
          <w:sz w:val="32"/>
          <w:szCs w:val="32"/>
          <w:highlight w:val="none"/>
        </w:rPr>
        <w:t>减少</w:t>
      </w:r>
      <w:r>
        <w:rPr>
          <w:rFonts w:hint="eastAsia" w:ascii="Times New Roman" w:hAnsi="Times New Roman" w:eastAsia="仿宋_GB2312" w:cs="Times New Roman"/>
          <w:color w:val="auto"/>
          <w:sz w:val="32"/>
          <w:szCs w:val="32"/>
          <w:highlight w:val="none"/>
          <w:lang w:val="en-US" w:eastAsia="zh-CN"/>
        </w:rPr>
        <w:t>6145.12</w:t>
      </w:r>
      <w:r>
        <w:rPr>
          <w:rFonts w:ascii="Times New Roman" w:hAnsi="Times New Roman" w:eastAsia="仿宋_GB2312" w:cs="Times New Roman"/>
          <w:color w:val="auto"/>
          <w:sz w:val="32"/>
          <w:szCs w:val="32"/>
          <w:highlight w:val="none"/>
        </w:rPr>
        <w:t>万</w:t>
      </w:r>
      <w:r>
        <w:rPr>
          <w:rFonts w:ascii="Times New Roman" w:hAnsi="Times New Roman" w:eastAsia="仿宋_GB2312" w:cs="Times New Roman"/>
          <w:sz w:val="32"/>
          <w:szCs w:val="32"/>
        </w:rPr>
        <w:t>元，主要为</w:t>
      </w:r>
      <w:r>
        <w:rPr>
          <w:rFonts w:hint="eastAsia" w:ascii="Times New Roman" w:hAnsi="Times New Roman" w:eastAsia="仿宋_GB2312" w:cs="Times New Roman"/>
          <w:sz w:val="32"/>
          <w:szCs w:val="32"/>
          <w:lang w:eastAsia="zh-CN"/>
        </w:rPr>
        <w:t>土地补偿款</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2022年，我局机关运行经费共计安排</w:t>
      </w:r>
      <w:r>
        <w:rPr>
          <w:rFonts w:hint="eastAsia" w:ascii="Times New Roman" w:hAnsi="Times New Roman" w:eastAsia="仿宋_GB2312" w:cs="Times New Roman"/>
          <w:sz w:val="32"/>
          <w:szCs w:val="32"/>
          <w:lang w:val="en-US" w:eastAsia="zh-CN"/>
        </w:rPr>
        <w:t>351.16</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安平镇人民政府</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2022年，我局财政拨款“三公”经费预算安排</w:t>
      </w:r>
      <w:r>
        <w:rPr>
          <w:rFonts w:hint="eastAsia" w:ascii="Times New Roman" w:hAnsi="Times New Roman" w:eastAsia="仿宋_GB2312" w:cs="Times New Roman"/>
          <w:sz w:val="32"/>
          <w:szCs w:val="32"/>
          <w:highlight w:val="none"/>
          <w:lang w:val="en-US" w:eastAsia="zh-CN"/>
        </w:rPr>
        <w:t>10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其中</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因公出国（境）费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万元；公务用车购置及运维费</w:t>
      </w:r>
      <w:r>
        <w:rPr>
          <w:rFonts w:hint="eastAsia" w:ascii="Times New Roman" w:hAnsi="Times New Roman" w:eastAsia="仿宋_GB2312" w:cs="Times New Roman"/>
          <w:sz w:val="32"/>
          <w:szCs w:val="32"/>
          <w:highlight w:val="none"/>
          <w:lang w:val="en-US" w:eastAsia="zh-CN"/>
        </w:rPr>
        <w:t>10</w:t>
      </w:r>
      <w:r>
        <w:rPr>
          <w:rFonts w:ascii="Times New Roman" w:hAnsi="Times New Roman" w:eastAsia="仿宋_GB2312" w:cs="Times New Roman"/>
          <w:sz w:val="32"/>
          <w:szCs w:val="32"/>
          <w:highlight w:val="none"/>
        </w:rPr>
        <w:t>万元（其中：公务用车购置费为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lang w:val="en-US" w:eastAsia="zh-CN"/>
        </w:rPr>
        <w:t>10</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万元。与2021年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0.8</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0.2</w:t>
      </w:r>
      <w:r>
        <w:rPr>
          <w:rFonts w:ascii="Times New Roman" w:hAnsi="Times New Roman" w:eastAsia="仿宋_GB2312" w:cs="Times New Roman"/>
          <w:sz w:val="32"/>
          <w:szCs w:val="32"/>
          <w:highlight w:val="none"/>
        </w:rPr>
        <w:t>万元（其中：公务用车购置费增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0.2</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lang w:eastAsia="zh-CN"/>
        </w:rPr>
        <w:t>我部门公车车龄较长，运行维护费较高</w:t>
      </w:r>
      <w:r>
        <w:rPr>
          <w:rFonts w:ascii="Times New Roman" w:hAnsi="Times New Roman" w:eastAsia="仿宋_GB2312" w:cs="Times New Roman"/>
          <w:sz w:val="32"/>
          <w:szCs w:val="32"/>
          <w:highlight w:val="none"/>
        </w:rPr>
        <w:t>；公务接待费减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rPr>
        <w:t>万元，</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一是在高质量发展中实现新作为新突破。加快推进重点项目建设，加快企业转型升级。引导企业依靠先进技术、设备、管理方面进行提升；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二是在生态环境上实现新突破。加强自然生态环境保护投入，大气、水体、土壤污染防治和林木绿化方面持续改善；</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三是在农村人居环境整治上实现新突破。在坑塘环境、城镇垃圾、“两违”拆除整治方面，建立健全长效机制，严厉打击各种违法违规行为；</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四是在保障和改善民生上实现新突破。强化扶贫解困、教育投入、持续实施文体惠民工程，加强各类基础设施建设、文化活动开展等；</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五是在社会治理上实现新突破。对涉众信访案件，持续开展攻坚、抓好社会治安综合治理、扫黑除恶、安全生产和食药安全等工作，特别高度关注重点领域、重点行业，切实做到隐患排查整改全覆盖、无死角；</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六是在党委、政府自身建设上实现新突破。规范村“两室”建设，不断提升、完善基层党建阵地配套设施，推动党建工作全覆盖，开展作风建设，强化监督执纪审查。</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1、巩固生态环境治理成果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继续强化大气环境大气污染防治力度，主要针对秸秆、垃圾禁烧、“散乱污”企业巡查整治等；对安平镇域内所有河道、干渠、坑塘等开展全面排查治理，加强长效机制建设，确保龙减河流域水污染治理成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绩效指标：治理后河道水质指标数值情况应达到地表水五类以上水质。</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2、建立健全农村人居环境整治长效机制</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 重点对我镇域内相关村街侵街占道等影响农村人居环境的违建问题进行治理 ,保证拆除整改到位，消除违法状态; 加强对城镇垃圾一体化运行情况的监测管理。</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绩效指标：违章建筑、违法占地拆除面积占计划拆除面积的比率的100%；城镇垃圾清理及时率应达到100%。</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3、社会治理实现新突破</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绩效目标：持续降低信访压力，将矛盾化解在基层；加强是社会综合治理及扫黑除恶工作宣传工作；继续开展安全生产和食药安全隐患排除，强化源头管控。</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绩效指标：信访矛盾化解率应达到100%；社会综治相关政策知晓率应达到80%以上；安全生产等工作入户摸排工作开展50次以上。</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4、基层党建工作迈上新台阶</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绩效目标：持续强化基层党建工作，着力提升党员素质，加强基层党员、干部廉政、勤政教育，使基层党建工作迈上新台阶。</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绩效指标：全年党建学习活动开展50次以上；相关政策知晓率应达到90%。</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1、完善制度建设。制定完善预算绩效管理制度、资金管理办法、工作保障制度等，为全年预算绩效目标的实现奠定制度基础。</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2、加强支出管理。通过优化支出结构、编细编实预算、加快履行政府采购手续、尽快启动项目、及时支付资金、按规定及时拨付资金等多种措施，确保支出进度达标。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3、加强绩效运行监控。按要求开展绩效运行监控，发现问题及时采取措施，确保绩效目标如期保质实现。</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4、做好绩效自评。按要求开展上年度部门预算绩效自评和重点评价工作，对评价中发现的问题及时整改，调整优化支出结构，提高财政资金使用效益。</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5、规范财务资产管理。完善财务管理制度，严格审批程序，加强固定资产登记、使用和报废处置管理，做到支出合理，物尽其用。</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7、加强宣传培训调研等。加强人员培训，提高本部门职工业务素质；加强调研，提出优化财政资金配置、提高资金使用效益的意见建议；加大宣传力度，强化预算绩效管理意识，促进预算绩效管理水平进一步提升。</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3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692"/>
        <w:gridCol w:w="819"/>
        <w:gridCol w:w="2345"/>
        <w:gridCol w:w="5356"/>
        <w:gridCol w:w="1724"/>
        <w:gridCol w:w="513"/>
        <w:gridCol w:w="469"/>
        <w:gridCol w:w="687"/>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69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1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34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535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72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69"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01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692" w:type="dxa"/>
            <w:vMerge w:val="continue"/>
            <w:tcBorders>
              <w:tl2br w:val="nil"/>
              <w:tr2bl w:val="nil"/>
            </w:tcBorders>
            <w:vAlign w:val="center"/>
          </w:tcPr>
          <w:p/>
        </w:tc>
        <w:tc>
          <w:tcPr>
            <w:tcW w:w="819" w:type="dxa"/>
            <w:vMerge w:val="continue"/>
            <w:tcBorders>
              <w:tl2br w:val="nil"/>
              <w:tr2bl w:val="nil"/>
            </w:tcBorders>
            <w:vAlign w:val="center"/>
          </w:tcPr>
          <w:p/>
        </w:tc>
        <w:tc>
          <w:tcPr>
            <w:tcW w:w="2345" w:type="dxa"/>
            <w:vMerge w:val="continue"/>
            <w:tcBorders>
              <w:tl2br w:val="nil"/>
              <w:tr2bl w:val="nil"/>
            </w:tcBorders>
            <w:vAlign w:val="center"/>
          </w:tcPr>
          <w:p/>
        </w:tc>
        <w:tc>
          <w:tcPr>
            <w:tcW w:w="5356" w:type="dxa"/>
            <w:vMerge w:val="continue"/>
            <w:tcBorders>
              <w:tl2br w:val="nil"/>
              <w:tr2bl w:val="nil"/>
            </w:tcBorders>
            <w:vAlign w:val="center"/>
          </w:tcPr>
          <w:p/>
        </w:tc>
        <w:tc>
          <w:tcPr>
            <w:tcW w:w="1724" w:type="dxa"/>
            <w:vMerge w:val="continue"/>
            <w:tcBorders>
              <w:tl2br w:val="nil"/>
              <w:tr2bl w:val="nil"/>
            </w:tcBorders>
            <w:vAlign w:val="center"/>
          </w:tcPr>
          <w:p/>
        </w:tc>
        <w:tc>
          <w:tcPr>
            <w:tcW w:w="51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6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8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010"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72" w:hRule="atLeast"/>
          <w:jc w:val="center"/>
        </w:trPr>
        <w:tc>
          <w:tcPr>
            <w:tcW w:w="692"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345" w:type="dxa"/>
            <w:tcBorders>
              <w:tl2br w:val="nil"/>
              <w:tr2bl w:val="nil"/>
            </w:tcBorders>
            <w:vAlign w:val="center"/>
          </w:tcPr>
          <w:p>
            <w:pPr>
              <w:keepNext w:val="0"/>
              <w:keepLines w:val="0"/>
              <w:widowControl/>
              <w:suppressLineNumbers w:val="0"/>
              <w:jc w:val="left"/>
              <w:textAlignment w:val="top"/>
              <w:rPr>
                <w:rFonts w:ascii="方正书宋_GBK" w:eastAsia="方正书宋_GBK"/>
                <w:sz w:val="21"/>
                <w:szCs w:val="21"/>
              </w:rPr>
            </w:pPr>
            <w:r>
              <w:rPr>
                <w:rFonts w:hint="default" w:ascii="Calibri" w:hAnsi="Calibri" w:eastAsia="宋体" w:cs="Calibri"/>
                <w:i w:val="0"/>
                <w:iCs w:val="0"/>
                <w:color w:val="000000"/>
                <w:kern w:val="0"/>
                <w:sz w:val="21"/>
                <w:szCs w:val="21"/>
                <w:u w:val="none"/>
                <w:lang w:val="en-US" w:eastAsia="zh-CN" w:bidi="ar"/>
              </w:rPr>
              <w:t>服务村街数量</w:t>
            </w:r>
          </w:p>
        </w:tc>
        <w:tc>
          <w:tcPr>
            <w:tcW w:w="5356" w:type="dxa"/>
            <w:tcBorders>
              <w:tl2br w:val="nil"/>
              <w:tr2bl w:val="nil"/>
            </w:tcBorders>
            <w:vAlign w:val="center"/>
          </w:tcPr>
          <w:p>
            <w:pPr>
              <w:keepNext w:val="0"/>
              <w:keepLines w:val="0"/>
              <w:widowControl/>
              <w:suppressLineNumbers w:val="0"/>
              <w:jc w:val="left"/>
              <w:textAlignment w:val="top"/>
              <w:rPr>
                <w:rFonts w:ascii="方正书宋_GBK" w:eastAsia="方正书宋_GBK"/>
                <w:sz w:val="15"/>
                <w:szCs w:val="15"/>
              </w:rPr>
            </w:pPr>
            <w:r>
              <w:rPr>
                <w:rFonts w:hint="default" w:ascii="Calibri" w:hAnsi="Calibri" w:eastAsia="宋体" w:cs="Calibri"/>
                <w:i w:val="0"/>
                <w:iCs w:val="0"/>
                <w:color w:val="000000"/>
                <w:kern w:val="0"/>
                <w:sz w:val="15"/>
                <w:szCs w:val="15"/>
                <w:u w:val="none"/>
                <w:lang w:val="en-US" w:eastAsia="zh-CN" w:bidi="ar"/>
              </w:rPr>
              <w:t>服务村街数量等于29个为优；大于等于28个，小于29个为良；小于28个为中</w:t>
            </w:r>
          </w:p>
        </w:tc>
        <w:tc>
          <w:tcPr>
            <w:tcW w:w="1724"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服务村街数量</w:t>
            </w:r>
          </w:p>
        </w:tc>
        <w:tc>
          <w:tcPr>
            <w:tcW w:w="513"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 xml:space="preserve"> =</w:t>
            </w:r>
          </w:p>
        </w:tc>
        <w:tc>
          <w:tcPr>
            <w:tcW w:w="469"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29</w:t>
            </w:r>
          </w:p>
        </w:tc>
        <w:tc>
          <w:tcPr>
            <w:tcW w:w="687"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个</w:t>
            </w:r>
          </w:p>
        </w:tc>
        <w:tc>
          <w:tcPr>
            <w:tcW w:w="1010"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72" w:hRule="atLeast"/>
          <w:jc w:val="center"/>
        </w:trPr>
        <w:tc>
          <w:tcPr>
            <w:tcW w:w="692" w:type="dxa"/>
            <w:vMerge w:val="continue"/>
            <w:tcBorders>
              <w:tl2br w:val="nil"/>
              <w:tr2bl w:val="nil"/>
            </w:tcBorders>
            <w:vAlign w:val="center"/>
          </w:tcPr>
          <w:p/>
        </w:tc>
        <w:tc>
          <w:tcPr>
            <w:tcW w:w="8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345" w:type="dxa"/>
            <w:tcBorders>
              <w:tl2br w:val="nil"/>
              <w:tr2bl w:val="nil"/>
            </w:tcBorders>
            <w:vAlign w:val="center"/>
          </w:tcPr>
          <w:p>
            <w:pPr>
              <w:keepNext w:val="0"/>
              <w:keepLines w:val="0"/>
              <w:widowControl/>
              <w:suppressLineNumbers w:val="0"/>
              <w:jc w:val="left"/>
              <w:textAlignment w:val="top"/>
              <w:rPr>
                <w:rFonts w:ascii="方正书宋_GBK" w:eastAsia="方正书宋_GBK"/>
                <w:sz w:val="21"/>
                <w:szCs w:val="21"/>
              </w:rPr>
            </w:pPr>
            <w:r>
              <w:rPr>
                <w:rFonts w:hint="default" w:ascii="Calibri" w:hAnsi="Calibri" w:eastAsia="宋体" w:cs="Calibri"/>
                <w:i w:val="0"/>
                <w:iCs w:val="0"/>
                <w:color w:val="000000"/>
                <w:kern w:val="0"/>
                <w:sz w:val="21"/>
                <w:szCs w:val="21"/>
                <w:u w:val="none"/>
                <w:lang w:val="en-US" w:eastAsia="zh-CN" w:bidi="ar"/>
              </w:rPr>
              <w:t>预算执行率</w:t>
            </w:r>
          </w:p>
        </w:tc>
        <w:tc>
          <w:tcPr>
            <w:tcW w:w="5356" w:type="dxa"/>
            <w:tcBorders>
              <w:tl2br w:val="nil"/>
              <w:tr2bl w:val="nil"/>
            </w:tcBorders>
            <w:vAlign w:val="center"/>
          </w:tcPr>
          <w:p>
            <w:pPr>
              <w:keepNext w:val="0"/>
              <w:keepLines w:val="0"/>
              <w:widowControl/>
              <w:suppressLineNumbers w:val="0"/>
              <w:jc w:val="left"/>
              <w:textAlignment w:val="top"/>
              <w:rPr>
                <w:rFonts w:ascii="方正书宋_GBK" w:eastAsia="方正书宋_GBK"/>
                <w:sz w:val="15"/>
                <w:szCs w:val="15"/>
              </w:rPr>
            </w:pPr>
            <w:r>
              <w:rPr>
                <w:rFonts w:hint="default" w:ascii="Calibri" w:hAnsi="Calibri" w:eastAsia="宋体" w:cs="Calibri"/>
                <w:i w:val="0"/>
                <w:iCs w:val="0"/>
                <w:color w:val="000000"/>
                <w:kern w:val="0"/>
                <w:sz w:val="15"/>
                <w:szCs w:val="15"/>
                <w:u w:val="none"/>
                <w:lang w:val="en-US" w:eastAsia="zh-CN" w:bidi="ar"/>
              </w:rPr>
              <w:t>预算执行率大于等于90%为优；大于等于75%，小于90%为良；小于75%为中</w:t>
            </w:r>
          </w:p>
        </w:tc>
        <w:tc>
          <w:tcPr>
            <w:tcW w:w="1724"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预算执行率</w:t>
            </w:r>
          </w:p>
        </w:tc>
        <w:tc>
          <w:tcPr>
            <w:tcW w:w="513"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w:t>
            </w:r>
          </w:p>
        </w:tc>
        <w:tc>
          <w:tcPr>
            <w:tcW w:w="469"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90</w:t>
            </w:r>
          </w:p>
        </w:tc>
        <w:tc>
          <w:tcPr>
            <w:tcW w:w="687"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比率</w:t>
            </w:r>
          </w:p>
        </w:tc>
        <w:tc>
          <w:tcPr>
            <w:tcW w:w="1010"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年底决算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692" w:type="dxa"/>
            <w:vMerge w:val="continue"/>
            <w:tcBorders>
              <w:tl2br w:val="nil"/>
              <w:tr2bl w:val="nil"/>
            </w:tcBorders>
            <w:vAlign w:val="center"/>
          </w:tcPr>
          <w:p/>
        </w:tc>
        <w:tc>
          <w:tcPr>
            <w:tcW w:w="8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2345" w:type="dxa"/>
            <w:tcBorders>
              <w:tl2br w:val="nil"/>
              <w:tr2bl w:val="nil"/>
            </w:tcBorders>
            <w:vAlign w:val="center"/>
          </w:tcPr>
          <w:p>
            <w:pPr>
              <w:keepNext w:val="0"/>
              <w:keepLines w:val="0"/>
              <w:widowControl/>
              <w:suppressLineNumbers w:val="0"/>
              <w:jc w:val="left"/>
              <w:textAlignment w:val="top"/>
              <w:rPr>
                <w:rFonts w:ascii="方正书宋_GBK" w:eastAsia="方正书宋_GBK"/>
                <w:sz w:val="21"/>
                <w:szCs w:val="21"/>
              </w:rPr>
            </w:pPr>
            <w:r>
              <w:rPr>
                <w:rFonts w:hint="default" w:ascii="Calibri" w:hAnsi="Calibri" w:eastAsia="宋体" w:cs="Calibri"/>
                <w:i w:val="0"/>
                <w:iCs w:val="0"/>
                <w:color w:val="000000"/>
                <w:kern w:val="0"/>
                <w:sz w:val="21"/>
                <w:szCs w:val="21"/>
                <w:u w:val="none"/>
                <w:lang w:val="en-US" w:eastAsia="zh-CN" w:bidi="ar"/>
              </w:rPr>
              <w:t>资金拨付及时率</w:t>
            </w:r>
          </w:p>
        </w:tc>
        <w:tc>
          <w:tcPr>
            <w:tcW w:w="5356" w:type="dxa"/>
            <w:tcBorders>
              <w:tl2br w:val="nil"/>
              <w:tr2bl w:val="nil"/>
            </w:tcBorders>
            <w:vAlign w:val="center"/>
          </w:tcPr>
          <w:p>
            <w:pPr>
              <w:keepNext w:val="0"/>
              <w:keepLines w:val="0"/>
              <w:widowControl/>
              <w:suppressLineNumbers w:val="0"/>
              <w:jc w:val="left"/>
              <w:textAlignment w:val="top"/>
              <w:rPr>
                <w:rFonts w:ascii="方正书宋_GBK" w:eastAsia="方正书宋_GBK"/>
                <w:sz w:val="15"/>
                <w:szCs w:val="15"/>
              </w:rPr>
            </w:pPr>
            <w:r>
              <w:rPr>
                <w:rFonts w:hint="default" w:ascii="Calibri" w:hAnsi="Calibri" w:eastAsia="宋体" w:cs="Calibri"/>
                <w:i w:val="0"/>
                <w:iCs w:val="0"/>
                <w:color w:val="000000"/>
                <w:kern w:val="0"/>
                <w:sz w:val="15"/>
                <w:szCs w:val="15"/>
                <w:u w:val="none"/>
                <w:lang w:val="en-US" w:eastAsia="zh-CN" w:bidi="ar"/>
              </w:rPr>
              <w:t>资金拨付及时率大于等于90%为优；大于等于75%，小于90%为良；小于75%为中</w:t>
            </w:r>
          </w:p>
        </w:tc>
        <w:tc>
          <w:tcPr>
            <w:tcW w:w="1724"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资金拨付及时率</w:t>
            </w:r>
          </w:p>
        </w:tc>
        <w:tc>
          <w:tcPr>
            <w:tcW w:w="513"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w:t>
            </w:r>
          </w:p>
        </w:tc>
        <w:tc>
          <w:tcPr>
            <w:tcW w:w="469"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90</w:t>
            </w:r>
          </w:p>
        </w:tc>
        <w:tc>
          <w:tcPr>
            <w:tcW w:w="687"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比率</w:t>
            </w:r>
          </w:p>
        </w:tc>
        <w:tc>
          <w:tcPr>
            <w:tcW w:w="1010"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92" w:type="dxa"/>
            <w:vMerge w:val="continue"/>
            <w:tcBorders>
              <w:tl2br w:val="nil"/>
              <w:tr2bl w:val="nil"/>
            </w:tcBorders>
            <w:vAlign w:val="center"/>
          </w:tcPr>
          <w:p/>
        </w:tc>
        <w:tc>
          <w:tcPr>
            <w:tcW w:w="8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2345" w:type="dxa"/>
            <w:tcBorders>
              <w:tl2br w:val="nil"/>
              <w:tr2bl w:val="nil"/>
            </w:tcBorders>
            <w:vAlign w:val="center"/>
          </w:tcPr>
          <w:p>
            <w:pPr>
              <w:keepNext w:val="0"/>
              <w:keepLines w:val="0"/>
              <w:widowControl/>
              <w:suppressLineNumbers w:val="0"/>
              <w:jc w:val="left"/>
              <w:textAlignment w:val="top"/>
              <w:rPr>
                <w:rFonts w:ascii="方正书宋_GBK" w:eastAsia="方正书宋_GBK"/>
                <w:sz w:val="21"/>
                <w:szCs w:val="21"/>
              </w:rPr>
            </w:pPr>
            <w:r>
              <w:rPr>
                <w:rFonts w:hint="default" w:ascii="Calibri" w:hAnsi="Calibri" w:eastAsia="宋体" w:cs="Calibri"/>
                <w:i w:val="0"/>
                <w:iCs w:val="0"/>
                <w:color w:val="000000"/>
                <w:kern w:val="0"/>
                <w:sz w:val="21"/>
                <w:szCs w:val="21"/>
                <w:u w:val="none"/>
                <w:lang w:val="en-US" w:eastAsia="zh-CN" w:bidi="ar"/>
              </w:rPr>
              <w:t>一般性支出压减率</w:t>
            </w:r>
          </w:p>
        </w:tc>
        <w:tc>
          <w:tcPr>
            <w:tcW w:w="5356" w:type="dxa"/>
            <w:tcBorders>
              <w:tl2br w:val="nil"/>
              <w:tr2bl w:val="nil"/>
            </w:tcBorders>
            <w:vAlign w:val="center"/>
          </w:tcPr>
          <w:p>
            <w:pPr>
              <w:keepNext w:val="0"/>
              <w:keepLines w:val="0"/>
              <w:widowControl/>
              <w:suppressLineNumbers w:val="0"/>
              <w:jc w:val="left"/>
              <w:textAlignment w:val="top"/>
              <w:rPr>
                <w:rFonts w:ascii="方正书宋_GBK" w:eastAsia="方正书宋_GBK"/>
                <w:sz w:val="15"/>
                <w:szCs w:val="15"/>
              </w:rPr>
            </w:pPr>
            <w:r>
              <w:rPr>
                <w:rFonts w:hint="default" w:ascii="Calibri" w:hAnsi="Calibri" w:eastAsia="宋体" w:cs="Calibri"/>
                <w:i w:val="0"/>
                <w:iCs w:val="0"/>
                <w:color w:val="000000"/>
                <w:kern w:val="0"/>
                <w:sz w:val="15"/>
                <w:szCs w:val="15"/>
                <w:u w:val="none"/>
                <w:lang w:val="en-US" w:eastAsia="zh-CN" w:bidi="ar"/>
              </w:rPr>
              <w:t>一般性支出压减大于等于1为优，大于等于0小于1为良，小于0为中</w:t>
            </w:r>
          </w:p>
        </w:tc>
        <w:tc>
          <w:tcPr>
            <w:tcW w:w="1724"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一般性支出压减率</w:t>
            </w:r>
          </w:p>
        </w:tc>
        <w:tc>
          <w:tcPr>
            <w:tcW w:w="513"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w:t>
            </w:r>
          </w:p>
        </w:tc>
        <w:tc>
          <w:tcPr>
            <w:tcW w:w="469"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1</w:t>
            </w:r>
          </w:p>
        </w:tc>
        <w:tc>
          <w:tcPr>
            <w:tcW w:w="687"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比率</w:t>
            </w:r>
          </w:p>
        </w:tc>
        <w:tc>
          <w:tcPr>
            <w:tcW w:w="1010"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年底决算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92"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345" w:type="dxa"/>
            <w:tcBorders>
              <w:tl2br w:val="nil"/>
              <w:tr2bl w:val="nil"/>
            </w:tcBorders>
            <w:vAlign w:val="center"/>
          </w:tcPr>
          <w:p>
            <w:pPr>
              <w:keepNext w:val="0"/>
              <w:keepLines w:val="0"/>
              <w:widowControl/>
              <w:suppressLineNumbers w:val="0"/>
              <w:jc w:val="left"/>
              <w:textAlignment w:val="top"/>
              <w:rPr>
                <w:rFonts w:ascii="方正书宋_GBK" w:eastAsia="方正书宋_GBK"/>
                <w:sz w:val="21"/>
                <w:szCs w:val="21"/>
              </w:rPr>
            </w:pPr>
            <w:r>
              <w:rPr>
                <w:rFonts w:hint="default" w:ascii="Calibri" w:hAnsi="Calibri" w:eastAsia="宋体" w:cs="Calibri"/>
                <w:i w:val="0"/>
                <w:iCs w:val="0"/>
                <w:color w:val="000000"/>
                <w:kern w:val="0"/>
                <w:sz w:val="21"/>
                <w:szCs w:val="21"/>
                <w:u w:val="none"/>
                <w:lang w:val="en-US" w:eastAsia="zh-CN" w:bidi="ar"/>
              </w:rPr>
              <w:t>公共服务水平提升情况</w:t>
            </w:r>
          </w:p>
        </w:tc>
        <w:tc>
          <w:tcPr>
            <w:tcW w:w="5356" w:type="dxa"/>
            <w:tcBorders>
              <w:tl2br w:val="nil"/>
              <w:tr2bl w:val="nil"/>
            </w:tcBorders>
            <w:vAlign w:val="center"/>
          </w:tcPr>
          <w:p>
            <w:pPr>
              <w:keepNext w:val="0"/>
              <w:keepLines w:val="0"/>
              <w:widowControl/>
              <w:suppressLineNumbers w:val="0"/>
              <w:jc w:val="left"/>
              <w:textAlignment w:val="top"/>
              <w:rPr>
                <w:rFonts w:ascii="方正书宋_GBK" w:eastAsia="方正书宋_GBK"/>
                <w:sz w:val="15"/>
                <w:szCs w:val="15"/>
              </w:rPr>
            </w:pPr>
            <w:r>
              <w:rPr>
                <w:rFonts w:hint="default" w:ascii="Calibri" w:hAnsi="Calibri" w:eastAsia="宋体" w:cs="Calibri"/>
                <w:i w:val="0"/>
                <w:iCs w:val="0"/>
                <w:color w:val="000000"/>
                <w:kern w:val="0"/>
                <w:sz w:val="15"/>
                <w:szCs w:val="15"/>
                <w:u w:val="none"/>
                <w:lang w:val="en-US" w:eastAsia="zh-CN" w:bidi="ar"/>
              </w:rPr>
              <w:t>公共服务水平提升认可大于等于90%为优；大于等于75%，小于90%为良；小于75%为中</w:t>
            </w:r>
          </w:p>
        </w:tc>
        <w:tc>
          <w:tcPr>
            <w:tcW w:w="1724"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公共服务水平提升</w:t>
            </w:r>
          </w:p>
        </w:tc>
        <w:tc>
          <w:tcPr>
            <w:tcW w:w="513"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w:t>
            </w:r>
          </w:p>
        </w:tc>
        <w:tc>
          <w:tcPr>
            <w:tcW w:w="469"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90</w:t>
            </w:r>
          </w:p>
        </w:tc>
        <w:tc>
          <w:tcPr>
            <w:tcW w:w="687"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比率</w:t>
            </w:r>
          </w:p>
        </w:tc>
        <w:tc>
          <w:tcPr>
            <w:tcW w:w="1010"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92" w:type="dxa"/>
            <w:vMerge w:val="continue"/>
            <w:tcBorders>
              <w:tl2br w:val="nil"/>
              <w:tr2bl w:val="nil"/>
            </w:tcBorders>
            <w:vAlign w:val="center"/>
          </w:tcPr>
          <w:p/>
        </w:tc>
        <w:tc>
          <w:tcPr>
            <w:tcW w:w="81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2345" w:type="dxa"/>
            <w:tcBorders>
              <w:tl2br w:val="nil"/>
              <w:tr2bl w:val="nil"/>
            </w:tcBorders>
            <w:vAlign w:val="center"/>
          </w:tcPr>
          <w:p>
            <w:pPr>
              <w:keepNext w:val="0"/>
              <w:keepLines w:val="0"/>
              <w:widowControl/>
              <w:suppressLineNumbers w:val="0"/>
              <w:jc w:val="left"/>
              <w:textAlignment w:val="top"/>
              <w:rPr>
                <w:rFonts w:ascii="方正书宋_GBK" w:eastAsia="方正书宋_GBK"/>
                <w:sz w:val="21"/>
                <w:szCs w:val="21"/>
              </w:rPr>
            </w:pPr>
            <w:r>
              <w:rPr>
                <w:rFonts w:hint="default" w:ascii="Calibri" w:hAnsi="Calibri" w:eastAsia="宋体" w:cs="Calibri"/>
                <w:i w:val="0"/>
                <w:iCs w:val="0"/>
                <w:color w:val="000000"/>
                <w:kern w:val="0"/>
                <w:sz w:val="21"/>
                <w:szCs w:val="21"/>
                <w:u w:val="none"/>
                <w:lang w:val="en-US" w:eastAsia="zh-CN" w:bidi="ar"/>
              </w:rPr>
              <w:t>村街疫情防控保障率</w:t>
            </w:r>
          </w:p>
        </w:tc>
        <w:tc>
          <w:tcPr>
            <w:tcW w:w="5356" w:type="dxa"/>
            <w:tcBorders>
              <w:tl2br w:val="nil"/>
              <w:tr2bl w:val="nil"/>
            </w:tcBorders>
            <w:vAlign w:val="center"/>
          </w:tcPr>
          <w:p>
            <w:pPr>
              <w:keepNext w:val="0"/>
              <w:keepLines w:val="0"/>
              <w:widowControl/>
              <w:suppressLineNumbers w:val="0"/>
              <w:jc w:val="left"/>
              <w:textAlignment w:val="top"/>
              <w:rPr>
                <w:rFonts w:ascii="方正书宋_GBK" w:eastAsia="方正书宋_GBK"/>
                <w:sz w:val="15"/>
                <w:szCs w:val="15"/>
              </w:rPr>
            </w:pPr>
            <w:r>
              <w:rPr>
                <w:rFonts w:hint="default" w:ascii="Calibri" w:hAnsi="Calibri" w:eastAsia="宋体" w:cs="Calibri"/>
                <w:i w:val="0"/>
                <w:iCs w:val="0"/>
                <w:color w:val="000000"/>
                <w:kern w:val="0"/>
                <w:sz w:val="15"/>
                <w:szCs w:val="15"/>
                <w:u w:val="none"/>
                <w:lang w:val="en-US" w:eastAsia="zh-CN" w:bidi="ar"/>
              </w:rPr>
              <w:t>村街疫情防控保障率等于100%为优；大于等于75%，小于100%为良；小于75%为中</w:t>
            </w:r>
          </w:p>
        </w:tc>
        <w:tc>
          <w:tcPr>
            <w:tcW w:w="1724"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用于评价村街疫情防控是否全面</w:t>
            </w:r>
          </w:p>
        </w:tc>
        <w:tc>
          <w:tcPr>
            <w:tcW w:w="513"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 xml:space="preserve"> =</w:t>
            </w:r>
          </w:p>
        </w:tc>
        <w:tc>
          <w:tcPr>
            <w:tcW w:w="469"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100</w:t>
            </w:r>
          </w:p>
        </w:tc>
        <w:tc>
          <w:tcPr>
            <w:tcW w:w="687"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比率</w:t>
            </w:r>
          </w:p>
        </w:tc>
        <w:tc>
          <w:tcPr>
            <w:tcW w:w="1010"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92" w:type="dxa"/>
            <w:vMerge w:val="continue"/>
            <w:tcBorders>
              <w:tl2br w:val="nil"/>
              <w:tr2bl w:val="nil"/>
            </w:tcBorders>
            <w:vAlign w:val="center"/>
          </w:tcPr>
          <w:p/>
        </w:tc>
        <w:tc>
          <w:tcPr>
            <w:tcW w:w="81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2345" w:type="dxa"/>
            <w:tcBorders>
              <w:tl2br w:val="nil"/>
              <w:tr2bl w:val="nil"/>
            </w:tcBorders>
            <w:vAlign w:val="center"/>
          </w:tcPr>
          <w:p>
            <w:pPr>
              <w:keepNext w:val="0"/>
              <w:keepLines w:val="0"/>
              <w:widowControl/>
              <w:suppressLineNumbers w:val="0"/>
              <w:jc w:val="left"/>
              <w:textAlignment w:val="top"/>
              <w:rPr>
                <w:rFonts w:ascii="方正书宋_GBK" w:eastAsia="方正书宋_GBK"/>
                <w:sz w:val="21"/>
                <w:szCs w:val="21"/>
              </w:rPr>
            </w:pPr>
            <w:r>
              <w:rPr>
                <w:rFonts w:hint="default" w:ascii="Calibri" w:hAnsi="Calibri" w:eastAsia="宋体" w:cs="Calibri"/>
                <w:i w:val="0"/>
                <w:iCs w:val="0"/>
                <w:color w:val="000000"/>
                <w:kern w:val="0"/>
                <w:sz w:val="21"/>
                <w:szCs w:val="21"/>
                <w:u w:val="none"/>
                <w:lang w:val="en-US" w:eastAsia="zh-CN" w:bidi="ar"/>
              </w:rPr>
              <w:t>环境卫生保持率</w:t>
            </w:r>
          </w:p>
        </w:tc>
        <w:tc>
          <w:tcPr>
            <w:tcW w:w="5356" w:type="dxa"/>
            <w:tcBorders>
              <w:tl2br w:val="nil"/>
              <w:tr2bl w:val="nil"/>
            </w:tcBorders>
            <w:vAlign w:val="center"/>
          </w:tcPr>
          <w:p>
            <w:pPr>
              <w:keepNext w:val="0"/>
              <w:keepLines w:val="0"/>
              <w:widowControl/>
              <w:suppressLineNumbers w:val="0"/>
              <w:jc w:val="left"/>
              <w:textAlignment w:val="top"/>
              <w:rPr>
                <w:rFonts w:ascii="方正书宋_GBK" w:eastAsia="方正书宋_GBK"/>
                <w:sz w:val="15"/>
                <w:szCs w:val="15"/>
              </w:rPr>
            </w:pPr>
            <w:r>
              <w:rPr>
                <w:rFonts w:hint="default" w:ascii="Calibri" w:hAnsi="Calibri" w:eastAsia="宋体" w:cs="Calibri"/>
                <w:i w:val="0"/>
                <w:iCs w:val="0"/>
                <w:color w:val="000000"/>
                <w:kern w:val="0"/>
                <w:sz w:val="15"/>
                <w:szCs w:val="15"/>
                <w:u w:val="none"/>
                <w:lang w:val="en-US" w:eastAsia="zh-CN" w:bidi="ar"/>
              </w:rPr>
              <w:t>环境卫生保持率大于等于90%为优；大于等于75%，小于90%为良；小于75%为中</w:t>
            </w:r>
          </w:p>
        </w:tc>
        <w:tc>
          <w:tcPr>
            <w:tcW w:w="1724"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村街环境卫生是否全面</w:t>
            </w:r>
          </w:p>
        </w:tc>
        <w:tc>
          <w:tcPr>
            <w:tcW w:w="513"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w:t>
            </w:r>
          </w:p>
        </w:tc>
        <w:tc>
          <w:tcPr>
            <w:tcW w:w="469"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90</w:t>
            </w:r>
          </w:p>
        </w:tc>
        <w:tc>
          <w:tcPr>
            <w:tcW w:w="687"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比率</w:t>
            </w:r>
          </w:p>
        </w:tc>
        <w:tc>
          <w:tcPr>
            <w:tcW w:w="1010"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692" w:type="dxa"/>
            <w:vMerge w:val="continue"/>
            <w:tcBorders>
              <w:tl2br w:val="nil"/>
              <w:tr2bl w:val="nil"/>
            </w:tcBorders>
            <w:vAlign w:val="center"/>
          </w:tcPr>
          <w:p/>
        </w:tc>
        <w:tc>
          <w:tcPr>
            <w:tcW w:w="819"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2345" w:type="dxa"/>
            <w:tcBorders>
              <w:tl2br w:val="nil"/>
              <w:tr2bl w:val="nil"/>
            </w:tcBorders>
            <w:noWrap/>
            <w:vAlign w:val="center"/>
          </w:tcPr>
          <w:p>
            <w:pPr>
              <w:keepNext w:val="0"/>
              <w:keepLines w:val="0"/>
              <w:widowControl/>
              <w:suppressLineNumbers w:val="0"/>
              <w:jc w:val="left"/>
              <w:textAlignment w:val="top"/>
              <w:rPr>
                <w:rFonts w:ascii="方正书宋_GBK" w:eastAsia="方正书宋_GBK"/>
                <w:sz w:val="21"/>
                <w:szCs w:val="21"/>
              </w:rPr>
            </w:pPr>
            <w:r>
              <w:rPr>
                <w:rFonts w:hint="default" w:ascii="Calibri" w:hAnsi="Calibri" w:eastAsia="宋体" w:cs="Calibri"/>
                <w:i w:val="0"/>
                <w:iCs w:val="0"/>
                <w:color w:val="000000"/>
                <w:kern w:val="0"/>
                <w:sz w:val="21"/>
                <w:szCs w:val="21"/>
                <w:u w:val="none"/>
                <w:lang w:val="en-US" w:eastAsia="zh-CN" w:bidi="ar"/>
              </w:rPr>
              <w:t>项目持续发挥作用期限</w:t>
            </w:r>
          </w:p>
        </w:tc>
        <w:tc>
          <w:tcPr>
            <w:tcW w:w="5356" w:type="dxa"/>
            <w:tcBorders>
              <w:tl2br w:val="nil"/>
              <w:tr2bl w:val="nil"/>
            </w:tcBorders>
            <w:noWrap/>
            <w:vAlign w:val="center"/>
          </w:tcPr>
          <w:p>
            <w:pPr>
              <w:keepNext w:val="0"/>
              <w:keepLines w:val="0"/>
              <w:widowControl/>
              <w:suppressLineNumbers w:val="0"/>
              <w:jc w:val="left"/>
              <w:textAlignment w:val="top"/>
              <w:rPr>
                <w:rFonts w:ascii="方正书宋_GBK" w:eastAsia="方正书宋_GBK"/>
                <w:sz w:val="15"/>
                <w:szCs w:val="15"/>
              </w:rPr>
            </w:pPr>
            <w:r>
              <w:rPr>
                <w:rFonts w:hint="default" w:ascii="Calibri" w:hAnsi="Calibri" w:eastAsia="宋体" w:cs="Calibri"/>
                <w:i w:val="0"/>
                <w:iCs w:val="0"/>
                <w:color w:val="000000"/>
                <w:kern w:val="0"/>
                <w:sz w:val="15"/>
                <w:szCs w:val="15"/>
                <w:u w:val="none"/>
                <w:lang w:val="en-US" w:eastAsia="zh-CN" w:bidi="ar"/>
              </w:rPr>
              <w:t>项目持续发挥作用的期限大于等于10月为优；大于等于9月，小于10月为良；小于9月为中</w:t>
            </w:r>
          </w:p>
        </w:tc>
        <w:tc>
          <w:tcPr>
            <w:tcW w:w="1724" w:type="dxa"/>
            <w:tcBorders>
              <w:tl2br w:val="nil"/>
              <w:tr2bl w:val="nil"/>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用于评价项目持续时间</w:t>
            </w:r>
          </w:p>
        </w:tc>
        <w:tc>
          <w:tcPr>
            <w:tcW w:w="513"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w:t>
            </w:r>
          </w:p>
        </w:tc>
        <w:tc>
          <w:tcPr>
            <w:tcW w:w="469"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10</w:t>
            </w:r>
          </w:p>
        </w:tc>
        <w:tc>
          <w:tcPr>
            <w:tcW w:w="687"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月</w:t>
            </w:r>
          </w:p>
        </w:tc>
        <w:tc>
          <w:tcPr>
            <w:tcW w:w="1010"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692" w:type="dxa"/>
            <w:vMerge w:val="continue"/>
            <w:tcBorders>
              <w:tl2br w:val="nil"/>
              <w:tr2bl w:val="nil"/>
            </w:tcBorders>
            <w:vAlign w:val="center"/>
          </w:tcPr>
          <w:p/>
        </w:tc>
        <w:tc>
          <w:tcPr>
            <w:tcW w:w="81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345" w:type="dxa"/>
            <w:tcBorders>
              <w:tl2br w:val="nil"/>
              <w:tr2bl w:val="nil"/>
            </w:tcBorders>
            <w:noWrap/>
            <w:vAlign w:val="center"/>
          </w:tcPr>
          <w:p>
            <w:pPr>
              <w:keepNext w:val="0"/>
              <w:keepLines w:val="0"/>
              <w:widowControl/>
              <w:suppressLineNumbers w:val="0"/>
              <w:jc w:val="left"/>
              <w:textAlignment w:val="top"/>
              <w:rPr>
                <w:rFonts w:ascii="方正书宋_GBK" w:eastAsia="方正书宋_GBK"/>
                <w:sz w:val="21"/>
                <w:szCs w:val="21"/>
              </w:rPr>
            </w:pPr>
            <w:r>
              <w:rPr>
                <w:rFonts w:hint="default" w:ascii="Calibri" w:hAnsi="Calibri" w:eastAsia="宋体" w:cs="Calibri"/>
                <w:i w:val="0"/>
                <w:iCs w:val="0"/>
                <w:color w:val="000000"/>
                <w:kern w:val="0"/>
                <w:sz w:val="21"/>
                <w:szCs w:val="21"/>
                <w:u w:val="none"/>
                <w:lang w:val="en-US" w:eastAsia="zh-CN" w:bidi="ar"/>
              </w:rPr>
              <w:t>服务对象满意度</w:t>
            </w:r>
          </w:p>
        </w:tc>
        <w:tc>
          <w:tcPr>
            <w:tcW w:w="5356" w:type="dxa"/>
            <w:tcBorders>
              <w:tl2br w:val="nil"/>
              <w:tr2bl w:val="nil"/>
            </w:tcBorders>
            <w:noWrap/>
            <w:vAlign w:val="center"/>
          </w:tcPr>
          <w:p>
            <w:pPr>
              <w:keepNext w:val="0"/>
              <w:keepLines w:val="0"/>
              <w:widowControl/>
              <w:suppressLineNumbers w:val="0"/>
              <w:jc w:val="left"/>
              <w:textAlignment w:val="top"/>
              <w:rPr>
                <w:rFonts w:ascii="方正书宋_GBK" w:eastAsia="方正书宋_GBK"/>
                <w:sz w:val="15"/>
                <w:szCs w:val="15"/>
              </w:rPr>
            </w:pPr>
            <w:r>
              <w:rPr>
                <w:rFonts w:hint="default" w:ascii="Calibri" w:hAnsi="Calibri" w:eastAsia="宋体" w:cs="Calibri"/>
                <w:i w:val="0"/>
                <w:iCs w:val="0"/>
                <w:color w:val="000000"/>
                <w:kern w:val="0"/>
                <w:sz w:val="15"/>
                <w:szCs w:val="15"/>
                <w:u w:val="none"/>
                <w:lang w:val="en-US" w:eastAsia="zh-CN" w:bidi="ar"/>
              </w:rPr>
              <w:t>服务对象满意度大于等于95%为优；大于等于75%，小于95%为良；小于75%为中</w:t>
            </w:r>
          </w:p>
        </w:tc>
        <w:tc>
          <w:tcPr>
            <w:tcW w:w="1724" w:type="dxa"/>
            <w:tcBorders>
              <w:tl2br w:val="nil"/>
              <w:tr2bl w:val="nil"/>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服务对象满意度</w:t>
            </w:r>
          </w:p>
        </w:tc>
        <w:tc>
          <w:tcPr>
            <w:tcW w:w="513"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w:t>
            </w:r>
          </w:p>
        </w:tc>
        <w:tc>
          <w:tcPr>
            <w:tcW w:w="469"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95</w:t>
            </w:r>
          </w:p>
        </w:tc>
        <w:tc>
          <w:tcPr>
            <w:tcW w:w="687"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比率</w:t>
            </w:r>
          </w:p>
        </w:tc>
        <w:tc>
          <w:tcPr>
            <w:tcW w:w="1010" w:type="dxa"/>
            <w:tcBorders>
              <w:tl2br w:val="nil"/>
              <w:tr2bl w:val="nil"/>
            </w:tcBorders>
            <w:vAlign w:val="center"/>
          </w:tcPr>
          <w:p>
            <w:pPr>
              <w:keepNext w:val="0"/>
              <w:keepLines w:val="0"/>
              <w:widowControl/>
              <w:suppressLineNumbers w:val="0"/>
              <w:jc w:val="left"/>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1"/>
                <w:szCs w:val="21"/>
                <w:u w:val="none"/>
                <w:lang w:val="en-US" w:eastAsia="zh-CN" w:bidi="ar"/>
              </w:rPr>
              <w:t>问卷调查</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bookmarkStart w:id="0" w:name="_Toc29799657"/>
      <w:bookmarkEnd w:id="0"/>
      <w:r>
        <w:rPr>
          <w:rFonts w:hint="eastAsia" w:ascii="Times New Roman" w:hAnsi="Times New Roman" w:eastAsia="仿宋_GB2312" w:cs="Times New Roman"/>
          <w:sz w:val="28"/>
        </w:rPr>
        <w:t>安监办日常工作经费绩效目标表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9"/>
        <w:gridCol w:w="2204"/>
        <w:gridCol w:w="2694"/>
        <w:gridCol w:w="3497"/>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2" w:hRule="atLeast"/>
          <w:tblHeader/>
          <w:jc w:val="center"/>
        </w:trPr>
        <w:tc>
          <w:tcPr>
            <w:tcW w:w="166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93" w:type="dxa"/>
            <w:gridSpan w:val="5"/>
            <w:shd w:val="clear" w:color="auto" w:fill="auto"/>
            <w:vAlign w:val="center"/>
          </w:tcPr>
          <w:p>
            <w:pPr>
              <w:pStyle w:val="12"/>
              <w:jc w:val="left"/>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1.用于保障安监办日常工作</w:t>
            </w:r>
            <w:r>
              <w:rPr>
                <w:rFonts w:hint="eastAsia" w:ascii="Times New Roman" w:hAnsi="Times New Roman" w:eastAsia="仿宋_GB2312" w:cs="Times New Roman"/>
                <w:b/>
                <w:kern w:val="2"/>
                <w:sz w:val="21"/>
                <w:szCs w:val="22"/>
                <w:lang w:val="en-US" w:eastAsia="zh-CN" w:bidi="ar-SA"/>
              </w:rPr>
              <w:t>；</w:t>
            </w:r>
            <w:r>
              <w:rPr>
                <w:rFonts w:ascii="Times New Roman" w:hAnsi="Times New Roman" w:eastAsia="仿宋_GB2312" w:cs="Times New Roman"/>
                <w:b/>
                <w:kern w:val="2"/>
                <w:sz w:val="21"/>
                <w:szCs w:val="22"/>
                <w:lang w:val="en-US" w:eastAsia="zh-CN" w:bidi="ar-SA"/>
              </w:rPr>
              <w:t>2.确保预算执行率达到较高水平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6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0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69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04"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694"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服务村街数量</w:t>
            </w:r>
          </w:p>
        </w:tc>
        <w:tc>
          <w:tcPr>
            <w:tcW w:w="3497"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用于评价项目服务村街是否全面</w:t>
            </w:r>
          </w:p>
        </w:tc>
        <w:tc>
          <w:tcPr>
            <w:tcW w:w="1843"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=29个</w:t>
            </w:r>
          </w:p>
        </w:tc>
        <w:tc>
          <w:tcPr>
            <w:tcW w:w="2155"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9" w:type="dxa"/>
            <w:vMerge w:val="continue"/>
            <w:shd w:val="clear" w:color="auto" w:fill="auto"/>
            <w:vAlign w:val="center"/>
          </w:tcPr>
          <w:p>
            <w:pPr>
              <w:jc w:val="center"/>
            </w:pPr>
          </w:p>
        </w:tc>
        <w:tc>
          <w:tcPr>
            <w:tcW w:w="2204"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694"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重大事故发生次数</w:t>
            </w:r>
          </w:p>
        </w:tc>
        <w:tc>
          <w:tcPr>
            <w:tcW w:w="3497"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重大事故发生次数</w:t>
            </w:r>
          </w:p>
        </w:tc>
        <w:tc>
          <w:tcPr>
            <w:tcW w:w="1843"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≦1次</w:t>
            </w:r>
          </w:p>
        </w:tc>
        <w:tc>
          <w:tcPr>
            <w:tcW w:w="2155"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9" w:type="dxa"/>
            <w:vMerge w:val="continue"/>
            <w:shd w:val="clear" w:color="auto" w:fill="auto"/>
            <w:vAlign w:val="center"/>
          </w:tcPr>
          <w:p>
            <w:pPr>
              <w:jc w:val="center"/>
            </w:pPr>
          </w:p>
        </w:tc>
        <w:tc>
          <w:tcPr>
            <w:tcW w:w="2204"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694"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3497"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9" w:type="dxa"/>
            <w:vMerge w:val="continue"/>
            <w:shd w:val="clear" w:color="auto" w:fill="auto"/>
            <w:vAlign w:val="center"/>
          </w:tcPr>
          <w:p>
            <w:pPr>
              <w:jc w:val="center"/>
            </w:pPr>
          </w:p>
        </w:tc>
        <w:tc>
          <w:tcPr>
            <w:tcW w:w="2204"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694"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3497"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≦5万</w:t>
            </w:r>
          </w:p>
        </w:tc>
        <w:tc>
          <w:tcPr>
            <w:tcW w:w="2155"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04"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694"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安监办正常运转月数</w:t>
            </w:r>
          </w:p>
        </w:tc>
        <w:tc>
          <w:tcPr>
            <w:tcW w:w="3497"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安监办正常运转月数</w:t>
            </w:r>
          </w:p>
        </w:tc>
        <w:tc>
          <w:tcPr>
            <w:tcW w:w="1843"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=12月</w:t>
            </w:r>
          </w:p>
        </w:tc>
        <w:tc>
          <w:tcPr>
            <w:tcW w:w="2155"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9" w:type="dxa"/>
            <w:vMerge w:val="continue"/>
            <w:shd w:val="clear" w:color="auto" w:fill="auto"/>
            <w:vAlign w:val="center"/>
          </w:tcPr>
          <w:p>
            <w:pPr>
              <w:jc w:val="center"/>
            </w:pPr>
          </w:p>
        </w:tc>
        <w:tc>
          <w:tcPr>
            <w:tcW w:w="2204"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694"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3497"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6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04"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694"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3497"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843"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安平镇村庄规划编制项目资金（本级）绩效目标表</w:t>
      </w:r>
      <w:r>
        <w:rPr>
          <w:rFonts w:ascii="Times New Roman" w:hAnsi="Times New Roman" w:eastAsia="仿宋_GB2312" w:cs="Times New Roman"/>
          <w:vanish/>
          <w:sz w:val="28"/>
        </w:rPr>
        <w:t>{ TC 2、办公自动化（OA）和督查督办系统升级及推广费绩效目标表 \f C \l 1 }</w:t>
      </w:r>
    </w:p>
    <w:tbl>
      <w:tblPr>
        <w:tblStyle w:val="8"/>
        <w:tblpPr w:leftFromText="180" w:rightFromText="180" w:vertAnchor="text" w:horzAnchor="page" w:tblpXSpec="center" w:tblpY="2"/>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8"/>
        <w:gridCol w:w="1997"/>
        <w:gridCol w:w="2618"/>
        <w:gridCol w:w="3791"/>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5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04" w:type="dxa"/>
            <w:gridSpan w:val="5"/>
            <w:shd w:val="clear" w:color="auto" w:fill="auto"/>
            <w:vAlign w:val="center"/>
          </w:tcPr>
          <w:p>
            <w:pPr>
              <w:pStyle w:val="12"/>
              <w:jc w:val="left"/>
              <w:rPr>
                <w:rFonts w:ascii="Times New Roman" w:hAnsi="Times New Roman" w:eastAsia="仿宋_GB2312" w:cs="Times New Roman"/>
                <w:b/>
              </w:rPr>
            </w:pPr>
            <w:r>
              <w:rPr>
                <w:rFonts w:ascii="Times New Roman" w:hAnsi="Times New Roman" w:eastAsia="仿宋_GB2312" w:cs="Times New Roman"/>
                <w:b/>
                <w:kern w:val="2"/>
                <w:sz w:val="21"/>
                <w:szCs w:val="22"/>
                <w:lang w:val="en-US" w:eastAsia="zh-CN" w:bidi="ar-SA"/>
              </w:rPr>
              <w:t>1.为我镇村庄未来发展提供坚实保障</w:t>
            </w:r>
            <w:r>
              <w:rPr>
                <w:rFonts w:hint="eastAsia" w:ascii="Times New Roman" w:hAnsi="Times New Roman" w:eastAsia="仿宋_GB2312" w:cs="Times New Roman"/>
                <w:b/>
                <w:kern w:val="2"/>
                <w:sz w:val="21"/>
                <w:szCs w:val="22"/>
                <w:lang w:val="en-US" w:eastAsia="zh-CN" w:bidi="ar-SA"/>
              </w:rPr>
              <w:t>；</w:t>
            </w:r>
            <w:r>
              <w:rPr>
                <w:rFonts w:ascii="Times New Roman" w:hAnsi="Times New Roman" w:eastAsia="仿宋_GB2312" w:cs="Times New Roman"/>
                <w:b/>
                <w:kern w:val="2"/>
                <w:sz w:val="21"/>
                <w:szCs w:val="22"/>
                <w:lang w:val="en-US" w:eastAsia="zh-CN" w:bidi="ar-SA"/>
              </w:rPr>
              <w:t>2.通过项目的开展做好15个村庄规划编制工作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5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61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79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97"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618"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套数</w:t>
            </w:r>
          </w:p>
        </w:tc>
        <w:tc>
          <w:tcPr>
            <w:tcW w:w="3791"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村庄规划编制套数</w:t>
            </w:r>
          </w:p>
        </w:tc>
        <w:tc>
          <w:tcPr>
            <w:tcW w:w="1843"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1套</w:t>
            </w:r>
          </w:p>
        </w:tc>
        <w:tc>
          <w:tcPr>
            <w:tcW w:w="2155"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9" w:hRule="atLeast"/>
          <w:jc w:val="center"/>
        </w:trPr>
        <w:tc>
          <w:tcPr>
            <w:tcW w:w="1658" w:type="dxa"/>
            <w:vMerge w:val="continue"/>
            <w:shd w:val="clear" w:color="auto" w:fill="auto"/>
            <w:vAlign w:val="center"/>
          </w:tcPr>
          <w:p>
            <w:pPr>
              <w:jc w:val="center"/>
            </w:pPr>
          </w:p>
        </w:tc>
        <w:tc>
          <w:tcPr>
            <w:tcW w:w="1997"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618"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项目成果质量评审通过率</w:t>
            </w:r>
          </w:p>
        </w:tc>
        <w:tc>
          <w:tcPr>
            <w:tcW w:w="3791"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村庄规划编制项目报告质量评审通过率</w:t>
            </w:r>
          </w:p>
        </w:tc>
        <w:tc>
          <w:tcPr>
            <w:tcW w:w="1843"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100比率</w:t>
            </w:r>
          </w:p>
        </w:tc>
        <w:tc>
          <w:tcPr>
            <w:tcW w:w="2155"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658" w:type="dxa"/>
            <w:vMerge w:val="continue"/>
            <w:shd w:val="clear" w:color="auto" w:fill="auto"/>
            <w:vAlign w:val="center"/>
          </w:tcPr>
          <w:p>
            <w:pPr>
              <w:jc w:val="center"/>
            </w:pPr>
          </w:p>
        </w:tc>
        <w:tc>
          <w:tcPr>
            <w:tcW w:w="1997"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618"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进度计划完成率</w:t>
            </w:r>
          </w:p>
        </w:tc>
        <w:tc>
          <w:tcPr>
            <w:tcW w:w="3791"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按照工作规划编制进度完成比率</w:t>
            </w:r>
          </w:p>
        </w:tc>
        <w:tc>
          <w:tcPr>
            <w:tcW w:w="1843"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100比率</w:t>
            </w:r>
          </w:p>
        </w:tc>
        <w:tc>
          <w:tcPr>
            <w:tcW w:w="2155"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658" w:type="dxa"/>
            <w:vMerge w:val="continue"/>
            <w:shd w:val="clear" w:color="auto" w:fill="auto"/>
            <w:vAlign w:val="center"/>
          </w:tcPr>
          <w:p>
            <w:pPr>
              <w:jc w:val="center"/>
            </w:pPr>
          </w:p>
        </w:tc>
        <w:tc>
          <w:tcPr>
            <w:tcW w:w="1997"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618"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3791"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村庄规划编制项目成本</w:t>
            </w:r>
          </w:p>
        </w:tc>
        <w:tc>
          <w:tcPr>
            <w:tcW w:w="1843"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≤130万元</w:t>
            </w:r>
          </w:p>
        </w:tc>
        <w:tc>
          <w:tcPr>
            <w:tcW w:w="2155"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65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97"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618"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规划利用率</w:t>
            </w:r>
          </w:p>
        </w:tc>
        <w:tc>
          <w:tcPr>
            <w:tcW w:w="3791"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通过规划编制，完成我镇村庄规划工作</w:t>
            </w:r>
          </w:p>
        </w:tc>
        <w:tc>
          <w:tcPr>
            <w:tcW w:w="1843"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100比率</w:t>
            </w:r>
          </w:p>
        </w:tc>
        <w:tc>
          <w:tcPr>
            <w:tcW w:w="2155"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8" w:type="dxa"/>
            <w:vMerge w:val="continue"/>
            <w:shd w:val="clear" w:color="auto" w:fill="auto"/>
            <w:vAlign w:val="center"/>
          </w:tcPr>
          <w:p>
            <w:pPr>
              <w:jc w:val="center"/>
            </w:pPr>
          </w:p>
        </w:tc>
        <w:tc>
          <w:tcPr>
            <w:tcW w:w="1997"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618"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规划后实施年限</w:t>
            </w:r>
          </w:p>
        </w:tc>
        <w:tc>
          <w:tcPr>
            <w:tcW w:w="3791"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规划后实施年限</w:t>
            </w:r>
          </w:p>
        </w:tc>
        <w:tc>
          <w:tcPr>
            <w:tcW w:w="1843"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≥10年</w:t>
            </w:r>
          </w:p>
        </w:tc>
        <w:tc>
          <w:tcPr>
            <w:tcW w:w="2155"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97"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618"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3791"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843"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spacing w:line="14" w:lineRule="exact"/>
        <w:ind w:firstLine="420" w:firstLineChars="200"/>
        <w:jc w:val="center"/>
        <w:rPr>
          <w:rFonts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安平镇控制性详细规划修编资金（本级）绩效目标表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1.完成香河县安平镇城市设计和控制性详细规划修编项目；2.实现我镇城市设计层面及控规（地块）层面规划；3.更好的落实《协同发展规划》，加强贴边地区管控的相关要求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套数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村庄规划编制套数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1套</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项目成果质量评审通过率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村庄规划编制项目报告质量评审通过率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进度计划完成率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按照工作规划编制进度完成比率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村庄规划编制项目成本</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≤130万元</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规划利用率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通过规划编制，完成我镇村庄规划工作</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规划后实施年限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规划后实施年限</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≥10年</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服务对象满意度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584" w:lineRule="exact"/>
        <w:ind w:firstLine="560" w:firstLineChars="200"/>
        <w:jc w:val="left"/>
        <w:textAlignment w:val="auto"/>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rPr>
        <w:t>安平镇一街清真寺改造工程项目资金（本级）绩效目标表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1.2022年度支付项目尾款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w:t>
            </w:r>
            <w:r>
              <w:rPr>
                <w:rFonts w:ascii="Times New Roman" w:hAnsi="Times New Roman" w:eastAsia="仿宋_GB2312" w:cs="Times New Roman"/>
                <w:kern w:val="2"/>
                <w:sz w:val="21"/>
                <w:szCs w:val="22"/>
                <w:lang w:val="en-US" w:eastAsia="zh-CN" w:bidi="ar-SA"/>
              </w:rPr>
              <w:t>出指</w:t>
            </w:r>
            <w:r>
              <w:rPr>
                <w:rFonts w:ascii="Times New Roman" w:hAnsi="Times New Roman" w:eastAsia="仿宋_GB2312" w:cs="Times New Roman"/>
              </w:rPr>
              <w:t>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改造面积</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改造面积</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=297.27平方米</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验收合格率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改造工程验收合格率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资金支付及时率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资金支付及时率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≤6月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工程尾款成本</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≤6.66万元</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社会影响力</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在镇区产生重大影响，得到广大受众充分认可</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≥80比率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使用期限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改造工程使用期限</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≥5年</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满意群众占调查群众总数的比例意度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rPr>
        <w:t>办公环境改善经费绩效目标表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1.用保障我镇办公设备购；2.确保预算执行率达到较高水平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保障股室个数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保障股室个数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=8个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办公设备保障率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办公设备保障率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≦8万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机关正常运转月数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机关正常运转月数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=12月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584" w:lineRule="exact"/>
        <w:ind w:firstLine="560" w:firstLineChars="200"/>
        <w:jc w:val="left"/>
        <w:textAlignment w:val="auto"/>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rPr>
        <w:t>北运河龙凤碱河污水处理工程及设备采购资金（本级）绩效目标表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1.通过项目的开展完成北运河龙凤碱河污水处理工程验收及设备采购安装；2.确保龙凤碱河水质达标，提高我县出境断面考核指标。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w:t>
            </w:r>
            <w:r>
              <w:rPr>
                <w:rFonts w:ascii="Times New Roman" w:hAnsi="Times New Roman" w:eastAsia="仿宋_GB2312" w:cs="Times New Roman"/>
                <w:kern w:val="2"/>
                <w:sz w:val="21"/>
                <w:szCs w:val="22"/>
                <w:lang w:val="en-US" w:eastAsia="zh-CN" w:bidi="ar-SA"/>
              </w:rPr>
              <w:t>出指</w:t>
            </w:r>
            <w:r>
              <w:rPr>
                <w:rFonts w:ascii="Times New Roman" w:hAnsi="Times New Roman" w:eastAsia="仿宋_GB2312" w:cs="Times New Roman"/>
              </w:rPr>
              <w:t>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污水设备数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采购污水设备数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2台</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验收合格率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工程验收合格率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验收记录、报告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工程完成时间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工程成本</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≤50万元</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提高龙凤碱河水质</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提高龙凤碱河水质</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≤3级</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地表水质环境标准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持续时长</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≥5年</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周边群众满意度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周边群众满意度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rPr>
        <w:t>城乡社区管理支出绩效目标表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1.保障我镇城乡社区综合执法工作正常运行；2.确保预算执行率达到较高水平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覆盖村街数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覆盖村街数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=29个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卷宗组档及时率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卷宗组档及时率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城乡社区恶性事件发生次数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城乡社区恶性事件发生次数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≦2次</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584" w:lineRule="exact"/>
        <w:ind w:firstLine="560" w:firstLineChars="200"/>
        <w:jc w:val="left"/>
        <w:textAlignment w:val="auto"/>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Times New Roman" w:hAnsi="Times New Roman" w:eastAsia="仿宋_GB2312" w:cs="Times New Roman"/>
          <w:sz w:val="28"/>
        </w:rPr>
        <w:t>村党组织活动经费绩效目标表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1.确保29个村街全面覆盖；2.确保预算执行率达到较高水平；3.确保党员满意度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w:t>
            </w:r>
            <w:r>
              <w:rPr>
                <w:rFonts w:ascii="Times New Roman" w:hAnsi="Times New Roman" w:eastAsia="仿宋_GB2312" w:cs="Times New Roman"/>
                <w:kern w:val="2"/>
                <w:sz w:val="21"/>
                <w:szCs w:val="22"/>
                <w:lang w:val="en-US" w:eastAsia="zh-CN" w:bidi="ar-SA"/>
              </w:rPr>
              <w:t>出指</w:t>
            </w:r>
            <w:r>
              <w:rPr>
                <w:rFonts w:ascii="Times New Roman" w:hAnsi="Times New Roman" w:eastAsia="仿宋_GB2312" w:cs="Times New Roman"/>
              </w:rPr>
              <w:t>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服务村街数量</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用于评价项目服务村街是否全面</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=29个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村街党组织活动达标率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村街党组织活动达标率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≦29万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党建活动支持率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党建活动支持率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村街党员满意度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村街党员满意度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w:t>
      </w:r>
      <w:r>
        <w:rPr>
          <w:rFonts w:hint="eastAsia" w:ascii="Times New Roman" w:hAnsi="Times New Roman" w:eastAsia="仿宋_GB2312" w:cs="Times New Roman"/>
          <w:sz w:val="28"/>
        </w:rPr>
        <w:t>村级组织办公经费绩效目标表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1.确保29个村街全面覆盖；2.确保预算执行率达到较高水平；3.确保群众满意度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服务村街数量</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用于评价项目服务村街是否全面</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=29个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村街正常办公月数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村街正常办公月数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=12月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≦58万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村街事务及时办结率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村街事务及时办结率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用于群众满意度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584" w:lineRule="exact"/>
        <w:ind w:firstLine="560" w:firstLineChars="200"/>
        <w:jc w:val="left"/>
        <w:textAlignment w:val="auto"/>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10</w:t>
      </w:r>
      <w:r>
        <w:rPr>
          <w:rFonts w:ascii="Times New Roman" w:hAnsi="Times New Roman" w:eastAsia="仿宋_GB2312" w:cs="Times New Roman"/>
          <w:sz w:val="28"/>
        </w:rPr>
        <w:t>.</w:t>
      </w:r>
      <w:r>
        <w:rPr>
          <w:rFonts w:hint="eastAsia" w:ascii="Times New Roman" w:hAnsi="Times New Roman" w:eastAsia="仿宋_GB2312" w:cs="Times New Roman"/>
          <w:sz w:val="28"/>
        </w:rPr>
        <w:t>村街（社区）“两委”干部补贴绩效目标表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保障人员补贴及时发放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w:t>
            </w:r>
            <w:r>
              <w:rPr>
                <w:rFonts w:ascii="Times New Roman" w:hAnsi="Times New Roman" w:eastAsia="仿宋_GB2312" w:cs="Times New Roman"/>
                <w:kern w:val="2"/>
                <w:sz w:val="21"/>
                <w:szCs w:val="22"/>
                <w:lang w:val="en-US" w:eastAsia="zh-CN" w:bidi="ar-SA"/>
              </w:rPr>
              <w:t>出指</w:t>
            </w:r>
            <w:r>
              <w:rPr>
                <w:rFonts w:ascii="Times New Roman" w:hAnsi="Times New Roman" w:eastAsia="仿宋_GB2312" w:cs="Times New Roman"/>
              </w:rPr>
              <w:t>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社区两委人数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社区两委人数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13个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执行率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预算执行率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经费全部支出时间</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经费全部支出时间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人均发放水平</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人均发放水平</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750元</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服务社区数量</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服务社区数量</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4个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项目持续发挥作用期限</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hint="eastAsia" w:ascii="Times New Roman" w:hAnsi="Times New Roman" w:eastAsia="仿宋_GB2312" w:cs="Times New Roman"/>
          <w:sz w:val="28"/>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ascii="Times New Roman" w:hAnsi="Times New Roman" w:eastAsia="仿宋_GB2312" w:cs="Times New Roman"/>
          <w:sz w:val="28"/>
        </w:rPr>
        <w:t>.</w:t>
      </w:r>
      <w:r>
        <w:rPr>
          <w:rFonts w:hint="eastAsia" w:ascii="Times New Roman" w:hAnsi="Times New Roman" w:eastAsia="仿宋_GB2312" w:cs="Times New Roman"/>
          <w:sz w:val="28"/>
        </w:rPr>
        <w:t>村街（社区）“两委”干部补贴绩效目标表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1.保障我镇城乡社区综合执法工作正常运行；2.确保预算执行率达到较高水平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村街两委人数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村街两委人数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87人</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执行率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预算执行率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经费全部支出时间</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经费全部支出时间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人员经费预算完成率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人员经费预算完成率=人员经费执行数/人员经费预算数*100%</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服务村街数量</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服务村街数量</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29个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项目持续发挥作用期限</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bl>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584" w:lineRule="exact"/>
        <w:ind w:firstLine="560" w:firstLineChars="200"/>
        <w:jc w:val="left"/>
        <w:textAlignment w:val="auto"/>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12</w:t>
      </w:r>
      <w:r>
        <w:rPr>
          <w:rFonts w:ascii="Times New Roman" w:hAnsi="Times New Roman" w:eastAsia="仿宋_GB2312" w:cs="Times New Roman"/>
          <w:sz w:val="28"/>
        </w:rPr>
        <w:t>.</w:t>
      </w:r>
      <w:r>
        <w:rPr>
          <w:rFonts w:hint="eastAsia" w:ascii="Times New Roman" w:hAnsi="Times New Roman" w:eastAsia="仿宋_GB2312" w:cs="Times New Roman"/>
          <w:sz w:val="28"/>
        </w:rPr>
        <w:t>村街（社区）“两委”干部补贴绩效目标表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ascii="Times New Roman" w:hAnsi="Times New Roman" w:eastAsia="仿宋_GB2312" w:cs="Times New Roman"/>
                <w:b/>
                <w:kern w:val="2"/>
                <w:sz w:val="21"/>
                <w:szCs w:val="22"/>
                <w:lang w:val="en-US" w:eastAsia="zh-CN" w:bidi="ar-SA"/>
              </w:rPr>
              <w:t>1.村街（社区）“两委干部”的补贴发放</w:t>
            </w:r>
            <w:r>
              <w:rPr>
                <w:rFonts w:hint="eastAsia" w:ascii="Times New Roman" w:hAnsi="Times New Roman" w:eastAsia="仿宋_GB2312" w:cs="Times New Roman"/>
                <w:b/>
                <w:kern w:val="2"/>
                <w:sz w:val="21"/>
                <w:szCs w:val="22"/>
                <w:lang w:val="en-US" w:eastAsia="zh-CN" w:bidi="ar-SA"/>
              </w:rPr>
              <w:t>；</w:t>
            </w:r>
            <w:r>
              <w:rPr>
                <w:rFonts w:ascii="Times New Roman" w:hAnsi="Times New Roman" w:eastAsia="仿宋_GB2312" w:cs="Times New Roman"/>
                <w:b/>
                <w:kern w:val="2"/>
                <w:sz w:val="21"/>
                <w:szCs w:val="22"/>
                <w:lang w:val="en-US" w:eastAsia="zh-CN" w:bidi="ar-SA"/>
              </w:rPr>
              <w:t>2.预算执行率达到较高水平</w:t>
            </w:r>
            <w:r>
              <w:rPr>
                <w:rFonts w:hint="eastAsia" w:ascii="Times New Roman" w:hAnsi="Times New Roman" w:eastAsia="仿宋_GB2312" w:cs="Times New Roman"/>
                <w:b/>
                <w:kern w:val="2"/>
                <w:sz w:val="21"/>
                <w:szCs w:val="22"/>
                <w:lang w:val="en-US" w:eastAsia="zh-CN" w:bidi="ar-SA"/>
              </w:rPr>
              <w:t>；</w:t>
            </w:r>
            <w:r>
              <w:rPr>
                <w:rFonts w:ascii="Times New Roman" w:hAnsi="Times New Roman" w:eastAsia="仿宋_GB2312" w:cs="Times New Roman"/>
                <w:b/>
                <w:kern w:val="2"/>
                <w:sz w:val="21"/>
                <w:szCs w:val="22"/>
                <w:lang w:val="en-US" w:eastAsia="zh-CN" w:bidi="ar-SA"/>
              </w:rPr>
              <w:t>3.村街稳定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w:t>
            </w:r>
            <w:r>
              <w:rPr>
                <w:rFonts w:ascii="Times New Roman" w:hAnsi="Times New Roman" w:eastAsia="仿宋_GB2312" w:cs="Times New Roman"/>
                <w:kern w:val="2"/>
                <w:sz w:val="21"/>
                <w:szCs w:val="22"/>
                <w:lang w:val="en-US" w:eastAsia="zh-CN" w:bidi="ar-SA"/>
              </w:rPr>
              <w:t>出指</w:t>
            </w:r>
            <w:r>
              <w:rPr>
                <w:rFonts w:ascii="Times New Roman" w:hAnsi="Times New Roman" w:eastAsia="仿宋_GB2312" w:cs="Times New Roman"/>
              </w:rPr>
              <w:t>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服务村街数量</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用于评价项目服务村街是否全面</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=29个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预算执行率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用于评价项目预算执行是否到位</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≦288.46万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稳定村街比例</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用于评价村稳定村街比例</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用于评价服务对象满意度指标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13</w:t>
      </w:r>
      <w:r>
        <w:rPr>
          <w:rFonts w:ascii="Times New Roman" w:hAnsi="Times New Roman" w:eastAsia="仿宋_GB2312" w:cs="Times New Roman"/>
          <w:sz w:val="28"/>
        </w:rPr>
        <w:t>.</w:t>
      </w:r>
      <w:r>
        <w:rPr>
          <w:rFonts w:hint="eastAsia" w:ascii="Times New Roman" w:hAnsi="Times New Roman" w:eastAsia="仿宋_GB2312" w:cs="Times New Roman"/>
          <w:sz w:val="28"/>
        </w:rPr>
        <w:t>服务群众专项经费绩效目标表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1.确保29个村街全面覆盖；2.确保预算执行率达到较高水平；3.确保群众满意度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服务村街数量</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用于评价项目服务村街是否全面</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=29个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预算执行率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用于评价项目预算执行是否到位</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≦290万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村街疫情防控保障率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用于评价村街疫情防控是否全面</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生态效益指标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环境卫生保持率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用于评价村街环境卫生是否全面</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用于群众满意度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numPr>
          <w:ilvl w:val="0"/>
          <w:numId w:val="1"/>
        </w:numPr>
        <w:kinsoku/>
        <w:wordWrap/>
        <w:overflowPunct/>
        <w:topLinePunct w:val="0"/>
        <w:autoSpaceDE w:val="0"/>
        <w:autoSpaceDN w:val="0"/>
        <w:bidi w:val="0"/>
        <w:adjustRightInd w:val="0"/>
        <w:snapToGrid/>
        <w:spacing w:before="157" w:beforeLines="50" w:after="157" w:afterLines="50" w:line="584" w:lineRule="exact"/>
        <w:ind w:firstLine="560" w:firstLineChars="200"/>
        <w:jc w:val="left"/>
        <w:textAlignment w:val="auto"/>
        <w:rPr>
          <w:rFonts w:hint="eastAsia" w:ascii="Times New Roman" w:hAnsi="Times New Roman" w:eastAsia="仿宋_GB2312" w:cs="Times New Roman"/>
          <w:sz w:val="28"/>
        </w:rPr>
      </w:pPr>
      <w:r>
        <w:rPr>
          <w:rFonts w:hint="eastAsia" w:ascii="Times New Roman" w:hAnsi="Times New Roman" w:eastAsia="仿宋_GB2312" w:cs="Times New Roman"/>
          <w:sz w:val="28"/>
        </w:rPr>
        <w:t>服务群众专项经费绩效目标表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1.确保29个村街全面覆盖；2.确保预算执行率达到较高水平；3.确保群众满意度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服务村街数量</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用于评价项目服务村街是否全面</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=29个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预算执行率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用于评价项目预算执行是否到位</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≦290万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村街疫情防控保障率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用于评价村街疫情防控是否全面</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生态效益指标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环境卫生保持率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用于评价村街环境卫生是否全面</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用于群众满意度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15</w:t>
      </w:r>
      <w:r>
        <w:rPr>
          <w:rFonts w:ascii="Times New Roman" w:hAnsi="Times New Roman" w:eastAsia="仿宋_GB2312" w:cs="Times New Roman"/>
          <w:sz w:val="28"/>
        </w:rPr>
        <w:t>.</w:t>
      </w:r>
      <w:r>
        <w:rPr>
          <w:rFonts w:hint="eastAsia" w:ascii="Times New Roman" w:hAnsi="Times New Roman" w:eastAsia="仿宋_GB2312" w:cs="Times New Roman"/>
          <w:sz w:val="28"/>
        </w:rPr>
        <w:t>基层民兵日常训练经费绩效目标表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1.保障基层民兵日常训练正常运行；2.确保预算执行率达到较高水平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基层民兵拉练次数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基层民兵拉练次数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≧2次</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民兵日常训练合格率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民兵日常训练合格率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≦5万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基层民兵事务正常运转率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基层民兵事务正常运转率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584" w:lineRule="exact"/>
        <w:ind w:firstLine="560" w:firstLineChars="200"/>
        <w:jc w:val="left"/>
        <w:textAlignment w:val="auto"/>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16</w:t>
      </w:r>
      <w:r>
        <w:rPr>
          <w:rFonts w:ascii="Times New Roman" w:hAnsi="Times New Roman" w:eastAsia="仿宋_GB2312" w:cs="Times New Roman"/>
          <w:sz w:val="28"/>
        </w:rPr>
        <w:t>.</w:t>
      </w:r>
      <w:r>
        <w:rPr>
          <w:rFonts w:hint="eastAsia" w:ascii="Times New Roman" w:hAnsi="Times New Roman" w:eastAsia="仿宋_GB2312" w:cs="Times New Roman"/>
          <w:sz w:val="28"/>
        </w:rPr>
        <w:t>绩效奖金绩效目标表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1.及时发放机关工作人员绩效奖金；2.足额保障机关工作人员绩效奖金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w:t>
            </w:r>
            <w:r>
              <w:rPr>
                <w:rFonts w:ascii="Times New Roman" w:hAnsi="Times New Roman" w:eastAsia="仿宋_GB2312" w:cs="Times New Roman"/>
                <w:kern w:val="2"/>
                <w:sz w:val="21"/>
                <w:szCs w:val="22"/>
                <w:lang w:val="en-US" w:eastAsia="zh-CN" w:bidi="ar-SA"/>
              </w:rPr>
              <w:t>出指</w:t>
            </w:r>
            <w:r>
              <w:rPr>
                <w:rFonts w:ascii="Times New Roman" w:hAnsi="Times New Roman" w:eastAsia="仿宋_GB2312" w:cs="Times New Roman"/>
              </w:rPr>
              <w:t>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保障人数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绩效奖金保障人数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≧133人</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预算执行率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用于评价项目预算执行是否到位</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奖金发放及时</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资金发放滞后时间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≦403.4万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资金保障覆盖率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资金保障覆盖率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=12月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用于评价服务对象满意度指标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hint="eastAsia" w:ascii="Times New Roman" w:hAnsi="Times New Roman" w:eastAsia="仿宋_GB2312" w:cs="Times New Roman"/>
          <w:sz w:val="28"/>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17</w:t>
      </w:r>
      <w:r>
        <w:rPr>
          <w:rFonts w:ascii="Times New Roman" w:hAnsi="Times New Roman" w:eastAsia="仿宋_GB2312" w:cs="Times New Roman"/>
          <w:sz w:val="28"/>
        </w:rPr>
        <w:t>.</w:t>
      </w:r>
      <w:r>
        <w:rPr>
          <w:rFonts w:hint="eastAsia" w:ascii="Times New Roman" w:hAnsi="Times New Roman" w:eastAsia="仿宋_GB2312" w:cs="Times New Roman"/>
          <w:sz w:val="28"/>
        </w:rPr>
        <w:t>纪委日常工作经费绩效目标表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1.用于保障纪委日常工作；2.确保预算执行率达到较高水平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服务村街数量</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用于评价项目服务村街是否全面</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=29个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纪委工作办结率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纪委工作办结率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纪委正常运转月数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纪委正常运转月数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=12月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584" w:lineRule="exact"/>
        <w:ind w:firstLine="560" w:firstLineChars="200"/>
        <w:jc w:val="left"/>
        <w:textAlignment w:val="auto"/>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18</w:t>
      </w:r>
      <w:r>
        <w:rPr>
          <w:rFonts w:ascii="Times New Roman" w:hAnsi="Times New Roman" w:eastAsia="仿宋_GB2312" w:cs="Times New Roman"/>
          <w:sz w:val="28"/>
        </w:rPr>
        <w:t>.</w:t>
      </w:r>
      <w:r>
        <w:rPr>
          <w:rFonts w:hint="eastAsia" w:ascii="Times New Roman" w:hAnsi="Times New Roman" w:eastAsia="仿宋_GB2312" w:cs="Times New Roman"/>
          <w:sz w:val="28"/>
        </w:rPr>
        <w:t>劳务费绩效目标表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1.用于保障编外人员薪酬；2.确保预算执行率达到较高水平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w:t>
            </w:r>
            <w:r>
              <w:rPr>
                <w:rFonts w:ascii="Times New Roman" w:hAnsi="Times New Roman" w:eastAsia="仿宋_GB2312" w:cs="Times New Roman"/>
                <w:kern w:val="2"/>
                <w:sz w:val="21"/>
                <w:szCs w:val="22"/>
                <w:lang w:val="en-US" w:eastAsia="zh-CN" w:bidi="ar-SA"/>
              </w:rPr>
              <w:t>出指</w:t>
            </w:r>
            <w:r>
              <w:rPr>
                <w:rFonts w:ascii="Times New Roman" w:hAnsi="Times New Roman" w:eastAsia="仿宋_GB2312" w:cs="Times New Roman"/>
              </w:rPr>
              <w:t>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保障编外人数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保障编外人数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≧62人</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编外人员薪酬全额保障率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编外人员薪酬全额保障率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≦234.88万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编外人员社保覆盖率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编外人员社保覆盖率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hint="eastAsia" w:ascii="Times New Roman" w:hAnsi="Times New Roman" w:eastAsia="仿宋_GB2312" w:cs="Times New Roman"/>
          <w:sz w:val="28"/>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19</w:t>
      </w:r>
      <w:r>
        <w:rPr>
          <w:rFonts w:ascii="Times New Roman" w:hAnsi="Times New Roman" w:eastAsia="仿宋_GB2312" w:cs="Times New Roman"/>
          <w:sz w:val="28"/>
        </w:rPr>
        <w:t>.</w:t>
      </w:r>
      <w:r>
        <w:rPr>
          <w:rFonts w:hint="eastAsia" w:ascii="Times New Roman" w:hAnsi="Times New Roman" w:eastAsia="仿宋_GB2312" w:cs="Times New Roman"/>
          <w:sz w:val="28"/>
        </w:rPr>
        <w:t>老夏安线两侧景观提升工程资金（本级）绩效目标表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w:t>
            </w:r>
            <w:r>
              <w:rPr>
                <w:rFonts w:ascii="Times New Roman" w:hAnsi="Times New Roman" w:eastAsia="仿宋_GB2312" w:cs="Times New Roman"/>
                <w:b/>
                <w:kern w:val="2"/>
                <w:sz w:val="21"/>
                <w:szCs w:val="22"/>
                <w:lang w:val="en-US" w:eastAsia="zh-CN" w:bidi="ar-SA"/>
              </w:rPr>
              <w:t>及时拨付项目资金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支付次数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尾款支付次数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1次</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预算执行率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预算执行率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支付时限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支付时限</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≤6月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工程成本</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≤481.75万元</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结算评审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惠及村街个数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惠及村街个数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29个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持续时长</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≥5年</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群众对道路两侧的景观提升工作的综合满意度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584" w:lineRule="exact"/>
        <w:ind w:firstLine="560" w:firstLineChars="200"/>
        <w:jc w:val="left"/>
        <w:textAlignment w:val="auto"/>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20</w:t>
      </w:r>
      <w:r>
        <w:rPr>
          <w:rFonts w:ascii="Times New Roman" w:hAnsi="Times New Roman" w:eastAsia="仿宋_GB2312" w:cs="Times New Roman"/>
          <w:sz w:val="28"/>
        </w:rPr>
        <w:t>.</w:t>
      </w:r>
      <w:r>
        <w:rPr>
          <w:rFonts w:hint="eastAsia" w:ascii="Times New Roman" w:hAnsi="Times New Roman" w:eastAsia="仿宋_GB2312" w:cs="Times New Roman"/>
          <w:sz w:val="28"/>
        </w:rPr>
        <w:t>老夏安线两侧绿化带养护资金（本级）绩效目标表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1.完成老夏安线道路两侧绿化带日常养护工作；2.及时拨付项目资金。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w:t>
            </w:r>
            <w:r>
              <w:rPr>
                <w:rFonts w:ascii="Times New Roman" w:hAnsi="Times New Roman" w:eastAsia="仿宋_GB2312" w:cs="Times New Roman"/>
                <w:kern w:val="2"/>
                <w:sz w:val="21"/>
                <w:szCs w:val="22"/>
                <w:lang w:val="en-US" w:eastAsia="zh-CN" w:bidi="ar-SA"/>
              </w:rPr>
              <w:t>出指</w:t>
            </w:r>
            <w:r>
              <w:rPr>
                <w:rFonts w:ascii="Times New Roman" w:hAnsi="Times New Roman" w:eastAsia="仿宋_GB2312" w:cs="Times New Roman"/>
              </w:rPr>
              <w:t>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施肥次数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绿化带施肥次数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≥2次</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群众投诉次数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群众投诉养护工作次数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≤3次</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养护月数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养护月数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24月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工程成本</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≤268万元</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惠及村街个数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惠及村街个数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29个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持续时长</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2年</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收益群众满意度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21</w:t>
      </w:r>
      <w:r>
        <w:rPr>
          <w:rFonts w:ascii="Times New Roman" w:hAnsi="Times New Roman" w:eastAsia="仿宋_GB2312" w:cs="Times New Roman"/>
          <w:sz w:val="28"/>
        </w:rPr>
        <w:t>.</w:t>
      </w:r>
      <w:r>
        <w:rPr>
          <w:rFonts w:hint="eastAsia" w:ascii="Times New Roman" w:hAnsi="Times New Roman" w:eastAsia="仿宋_GB2312" w:cs="Times New Roman"/>
          <w:sz w:val="28"/>
        </w:rPr>
        <w:t>人大代表联络站经费绩效目标表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1.用于保障人大代表联络站正常运行；2.确保预算执行率达到较高水平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服务村街数量</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用于评价项目服务村街是否全面</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=29个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人大活动达标率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人大活动达标率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≦6万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人大代表联络站正常运转月数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人大代表联络站正常运转月数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=12月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584" w:lineRule="exact"/>
        <w:ind w:firstLine="560" w:firstLineChars="200"/>
        <w:jc w:val="left"/>
        <w:textAlignment w:val="auto"/>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22</w:t>
      </w:r>
      <w:r>
        <w:rPr>
          <w:rFonts w:ascii="Times New Roman" w:hAnsi="Times New Roman" w:eastAsia="仿宋_GB2312" w:cs="Times New Roman"/>
          <w:sz w:val="28"/>
        </w:rPr>
        <w:t>.</w:t>
      </w:r>
      <w:r>
        <w:rPr>
          <w:rFonts w:hint="eastAsia" w:ascii="Times New Roman" w:hAnsi="Times New Roman" w:eastAsia="仿宋_GB2312" w:cs="Times New Roman"/>
          <w:sz w:val="28"/>
        </w:rPr>
        <w:t>社区党组织服务群众专项经费绩效目标表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1.确保4个社区全面覆盖；2.确保预算执行率达到较高水平；3.确保社区群众满意度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w:t>
            </w:r>
            <w:r>
              <w:rPr>
                <w:rFonts w:ascii="Times New Roman" w:hAnsi="Times New Roman" w:eastAsia="仿宋_GB2312" w:cs="Times New Roman"/>
                <w:kern w:val="2"/>
                <w:sz w:val="21"/>
                <w:szCs w:val="22"/>
                <w:lang w:val="en-US" w:eastAsia="zh-CN" w:bidi="ar-SA"/>
              </w:rPr>
              <w:t>出指</w:t>
            </w:r>
            <w:r>
              <w:rPr>
                <w:rFonts w:ascii="Times New Roman" w:hAnsi="Times New Roman" w:eastAsia="仿宋_GB2312" w:cs="Times New Roman"/>
              </w:rPr>
              <w:t>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服务社区数量</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服务社区数量</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=4个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社区事务及时办结率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社区事务及时办结率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≦80万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社区事务及时办结率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社区事务及时办结率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社区群众满意度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社区群众满意度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23</w:t>
      </w:r>
      <w:r>
        <w:rPr>
          <w:rFonts w:ascii="Times New Roman" w:hAnsi="Times New Roman" w:eastAsia="仿宋_GB2312" w:cs="Times New Roman"/>
          <w:sz w:val="28"/>
        </w:rPr>
        <w:t>.</w:t>
      </w:r>
      <w:r>
        <w:rPr>
          <w:rFonts w:hint="eastAsia" w:ascii="Times New Roman" w:hAnsi="Times New Roman" w:eastAsia="仿宋_GB2312" w:cs="Times New Roman"/>
          <w:sz w:val="28"/>
        </w:rPr>
        <w:t>社区工作经费绩效目标表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1.确保4个社区全面覆盖；2.确保预算执行率达到较高水平；3.确保社区群众满意度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服务社区数量</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服务社区数量</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=4个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社区正常办公月数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社区正常办公月数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=12月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≦40万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社区事务及时办结率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社区事务及时办结率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社区群众满意度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社区群众满意度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584" w:lineRule="exact"/>
        <w:ind w:firstLine="560" w:firstLineChars="200"/>
        <w:jc w:val="left"/>
        <w:textAlignment w:val="auto"/>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24</w:t>
      </w:r>
      <w:r>
        <w:rPr>
          <w:rFonts w:ascii="Times New Roman" w:hAnsi="Times New Roman" w:eastAsia="仿宋_GB2312" w:cs="Times New Roman"/>
          <w:sz w:val="28"/>
        </w:rPr>
        <w:t>.</w:t>
      </w:r>
      <w:r>
        <w:rPr>
          <w:rFonts w:hint="eastAsia" w:ascii="Times New Roman" w:hAnsi="Times New Roman" w:eastAsia="仿宋_GB2312" w:cs="Times New Roman"/>
          <w:sz w:val="28"/>
        </w:rPr>
        <w:t>社区工作者薪酬待遇所需资金绩效目标表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w:t>
            </w:r>
            <w:r>
              <w:rPr>
                <w:rFonts w:ascii="Times New Roman" w:hAnsi="Times New Roman" w:eastAsia="仿宋_GB2312" w:cs="Times New Roman"/>
                <w:b/>
                <w:kern w:val="2"/>
                <w:sz w:val="21"/>
                <w:szCs w:val="22"/>
                <w:lang w:val="en-US" w:eastAsia="zh-CN" w:bidi="ar-SA"/>
              </w:rPr>
              <w:t>保障人员薪酬待遇及时发放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w:t>
            </w:r>
            <w:r>
              <w:rPr>
                <w:rFonts w:ascii="Times New Roman" w:hAnsi="Times New Roman" w:eastAsia="仿宋_GB2312" w:cs="Times New Roman"/>
                <w:kern w:val="2"/>
                <w:sz w:val="21"/>
                <w:szCs w:val="22"/>
                <w:lang w:val="en-US" w:eastAsia="zh-CN" w:bidi="ar-SA"/>
              </w:rPr>
              <w:t>出指</w:t>
            </w:r>
            <w:r>
              <w:rPr>
                <w:rFonts w:ascii="Times New Roman" w:hAnsi="Times New Roman" w:eastAsia="仿宋_GB2312" w:cs="Times New Roman"/>
              </w:rPr>
              <w:t>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社区工作者人数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社区工作者人数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20人</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执行率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预算执行率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经费全部支出时间</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经费全部支出时间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人员经费预算完成率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人员经费预算完成率=人员经费执行数/人员经费预算数*100%</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经济效益指标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服务社区数量</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服务社区数量</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4个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项目持续发挥作用期限</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全年服务天数（≥**天）</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全年服务天数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≥232天</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25</w:t>
      </w:r>
      <w:r>
        <w:rPr>
          <w:rFonts w:ascii="Times New Roman" w:hAnsi="Times New Roman" w:eastAsia="仿宋_GB2312" w:cs="Times New Roman"/>
          <w:sz w:val="28"/>
        </w:rPr>
        <w:t>.</w:t>
      </w:r>
      <w:r>
        <w:rPr>
          <w:rFonts w:hint="eastAsia" w:ascii="Times New Roman" w:hAnsi="Times New Roman" w:eastAsia="仿宋_GB2312" w:cs="Times New Roman"/>
          <w:sz w:val="28"/>
        </w:rPr>
        <w:t>社区工作者薪酬待遇所需资金绩效目标表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ascii="Times New Roman" w:hAnsi="Times New Roman" w:eastAsia="仿宋_GB2312" w:cs="Times New Roman"/>
                <w:b/>
                <w:kern w:val="2"/>
                <w:sz w:val="21"/>
                <w:szCs w:val="22"/>
                <w:lang w:val="en-US" w:eastAsia="zh-CN" w:bidi="ar-SA"/>
              </w:rPr>
              <w:t>1.保障我镇社区工作者薪酬全额发放</w:t>
            </w:r>
            <w:r>
              <w:rPr>
                <w:rFonts w:hint="eastAsia" w:ascii="Times New Roman" w:hAnsi="Times New Roman" w:eastAsia="仿宋_GB2312" w:cs="Times New Roman"/>
                <w:b/>
                <w:kern w:val="2"/>
                <w:sz w:val="21"/>
                <w:szCs w:val="22"/>
                <w:lang w:val="en-US" w:eastAsia="zh-CN" w:bidi="ar-SA"/>
              </w:rPr>
              <w:t>；</w:t>
            </w:r>
            <w:r>
              <w:rPr>
                <w:rFonts w:ascii="Times New Roman" w:hAnsi="Times New Roman" w:eastAsia="仿宋_GB2312" w:cs="Times New Roman"/>
                <w:b/>
                <w:kern w:val="2"/>
                <w:sz w:val="21"/>
                <w:szCs w:val="22"/>
                <w:lang w:val="en-US" w:eastAsia="zh-CN" w:bidi="ar-SA"/>
              </w:rPr>
              <w:t>2.确保预算执行率达到较高水平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发放人数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发放薪酬人数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=20人</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薪酬足额发放率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薪酬足额发放率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≦136.2万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职工工资社保覆盖率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职工工资社保覆盖率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584" w:lineRule="exact"/>
        <w:ind w:firstLine="560" w:firstLineChars="200"/>
        <w:jc w:val="left"/>
        <w:textAlignment w:val="auto"/>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26</w:t>
      </w:r>
      <w:r>
        <w:rPr>
          <w:rFonts w:ascii="Times New Roman" w:hAnsi="Times New Roman" w:eastAsia="仿宋_GB2312" w:cs="Times New Roman"/>
          <w:sz w:val="28"/>
        </w:rPr>
        <w:t>.</w:t>
      </w:r>
      <w:r>
        <w:rPr>
          <w:rFonts w:hint="eastAsia" w:ascii="Times New Roman" w:hAnsi="Times New Roman" w:eastAsia="仿宋_GB2312" w:cs="Times New Roman"/>
          <w:sz w:val="28"/>
        </w:rPr>
        <w:t>团委日常工作经费绩效目标表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spacing w:line="300" w:lineRule="exact"/>
              <w:jc w:val="left"/>
              <w:rPr>
                <w:rFonts w:ascii="Times New Roman" w:hAnsi="Times New Roman" w:eastAsia="仿宋_GB2312" w:cs="Times New Roman"/>
                <w:b/>
              </w:rPr>
            </w:pPr>
            <w:r>
              <w:rPr>
                <w:rFonts w:ascii="Times New Roman" w:hAnsi="Times New Roman" w:eastAsia="仿宋_GB2312" w:cs="Times New Roman"/>
                <w:b/>
              </w:rPr>
              <w:t>1.保障我镇团委日常工作</w:t>
            </w:r>
            <w:r>
              <w:rPr>
                <w:rFonts w:hint="eastAsia" w:ascii="Times New Roman" w:hAnsi="Times New Roman" w:eastAsia="仿宋_GB2312" w:cs="Times New Roman"/>
                <w:b/>
                <w:lang w:eastAsia="zh-CN"/>
              </w:rPr>
              <w:t>；</w:t>
            </w:r>
            <w:r>
              <w:rPr>
                <w:rFonts w:ascii="Times New Roman" w:hAnsi="Times New Roman" w:eastAsia="仿宋_GB2312" w:cs="Times New Roman"/>
                <w:b/>
              </w:rPr>
              <w:t>2.确保预算执行率达到较高水平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w:t>
            </w:r>
            <w:r>
              <w:rPr>
                <w:rFonts w:ascii="Times New Roman" w:hAnsi="Times New Roman" w:eastAsia="仿宋_GB2312" w:cs="Times New Roman"/>
                <w:kern w:val="2"/>
                <w:sz w:val="21"/>
                <w:szCs w:val="22"/>
                <w:lang w:val="en-US" w:eastAsia="zh-CN" w:bidi="ar-SA"/>
              </w:rPr>
              <w:t>出指</w:t>
            </w:r>
            <w:r>
              <w:rPr>
                <w:rFonts w:ascii="Times New Roman" w:hAnsi="Times New Roman" w:eastAsia="仿宋_GB2312" w:cs="Times New Roman"/>
              </w:rPr>
              <w:t>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服务村街数量</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用于评价项目服务村街是否全面</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=29个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团委工作办结率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团委工作办结率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团委正常运转月数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团委正常运转月数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=12月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hint="eastAsia" w:ascii="Times New Roman" w:hAnsi="Times New Roman" w:eastAsia="仿宋_GB2312" w:cs="Times New Roman"/>
          <w:sz w:val="28"/>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27</w:t>
      </w:r>
      <w:r>
        <w:rPr>
          <w:rFonts w:ascii="Times New Roman" w:hAnsi="Times New Roman" w:eastAsia="仿宋_GB2312" w:cs="Times New Roman"/>
          <w:sz w:val="28"/>
        </w:rPr>
        <w:t>.</w:t>
      </w:r>
      <w:r>
        <w:rPr>
          <w:rFonts w:hint="eastAsia" w:ascii="Times New Roman" w:hAnsi="Times New Roman" w:eastAsia="仿宋_GB2312" w:cs="Times New Roman"/>
          <w:sz w:val="28"/>
        </w:rPr>
        <w:t>夏季防汛物资储备经费绩效目标表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1.用于保障我镇夏季防汛工作；2.确保预算执行率达到较高水平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防汛演练次数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防汛演练次数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≧1次</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防汛演练成功率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防汛演练成功率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防汛演练计划群众参与率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防汛演练计划群众参与率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val="0"/>
        <w:autoSpaceDN w:val="0"/>
        <w:bidi w:val="0"/>
        <w:adjustRightInd w:val="0"/>
        <w:snapToGrid/>
        <w:spacing w:line="584" w:lineRule="exact"/>
        <w:ind w:firstLine="560" w:firstLineChars="200"/>
        <w:jc w:val="left"/>
        <w:textAlignment w:val="auto"/>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28</w:t>
      </w:r>
      <w:r>
        <w:rPr>
          <w:rFonts w:ascii="Times New Roman" w:hAnsi="Times New Roman" w:eastAsia="仿宋_GB2312" w:cs="Times New Roman"/>
          <w:sz w:val="28"/>
        </w:rPr>
        <w:t>.</w:t>
      </w:r>
      <w:r>
        <w:rPr>
          <w:rFonts w:hint="eastAsia" w:ascii="Times New Roman" w:hAnsi="Times New Roman" w:eastAsia="仿宋_GB2312" w:cs="Times New Roman"/>
          <w:sz w:val="28"/>
        </w:rPr>
        <w:t>香河县安平镇国土空间规划项目编制资金（本级）绩效目标表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1.实现我镇落实国家与区域的新要求、落实新一轮国土空间规划的新要求；2.根据现实发展调整建设重点提供有力依据；3.保障我镇有序发展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w:t>
            </w:r>
            <w:r>
              <w:rPr>
                <w:rFonts w:ascii="Times New Roman" w:hAnsi="Times New Roman" w:eastAsia="仿宋_GB2312" w:cs="Times New Roman"/>
                <w:kern w:val="2"/>
                <w:sz w:val="21"/>
                <w:szCs w:val="22"/>
                <w:lang w:val="en-US" w:eastAsia="zh-CN" w:bidi="ar-SA"/>
              </w:rPr>
              <w:t>出指</w:t>
            </w:r>
            <w:r>
              <w:rPr>
                <w:rFonts w:ascii="Times New Roman" w:hAnsi="Times New Roman" w:eastAsia="仿宋_GB2312" w:cs="Times New Roman"/>
              </w:rPr>
              <w:t>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套数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国土空间规划编制套数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1套</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项目成果质量评审通过率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国土空间规划编制项目报告质量评审通过率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进度计划完成率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按照工作规划编制进度完成比率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国土空间规划项目成本</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≤40万元</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规划利用率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通过规划编制，完成我镇区域控制性详细规划深化细化工作</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规划后实施年限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规划后实施年限</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≥10年</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服务对象满意度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29</w:t>
      </w:r>
      <w:r>
        <w:rPr>
          <w:rFonts w:ascii="Times New Roman" w:hAnsi="Times New Roman" w:eastAsia="仿宋_GB2312" w:cs="Times New Roman"/>
          <w:sz w:val="28"/>
        </w:rPr>
        <w:t>.</w:t>
      </w:r>
      <w:r>
        <w:rPr>
          <w:rFonts w:hint="eastAsia" w:ascii="Times New Roman" w:hAnsi="Times New Roman" w:eastAsia="仿宋_GB2312" w:cs="Times New Roman"/>
          <w:sz w:val="28"/>
        </w:rPr>
        <w:t>一至六级伤残军人医疗补助绩效目标表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1.保障我镇一到六级伤残军人医疗补助；2.确保预算执行率达到较高水平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保障人数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保障人数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=1人</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足额保障</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足额保障</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足额保障</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足额保障</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584" w:lineRule="exact"/>
        <w:ind w:firstLine="560" w:firstLineChars="200"/>
        <w:jc w:val="left"/>
        <w:textAlignment w:val="auto"/>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30</w:t>
      </w:r>
      <w:r>
        <w:rPr>
          <w:rFonts w:ascii="Times New Roman" w:hAnsi="Times New Roman" w:eastAsia="仿宋_GB2312" w:cs="Times New Roman"/>
          <w:sz w:val="28"/>
        </w:rPr>
        <w:t>.</w:t>
      </w:r>
      <w:r>
        <w:rPr>
          <w:rFonts w:hint="eastAsia" w:ascii="Times New Roman" w:hAnsi="Times New Roman" w:eastAsia="仿宋_GB2312" w:cs="Times New Roman"/>
          <w:sz w:val="28"/>
        </w:rPr>
        <w:t>镇办公环境大型修缮资金绩效目标表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9"/>
        <w:gridCol w:w="2149"/>
        <w:gridCol w:w="2586"/>
        <w:gridCol w:w="40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3" w:type="dxa"/>
            <w:gridSpan w:val="5"/>
            <w:shd w:val="clear" w:color="auto" w:fill="auto"/>
            <w:vAlign w:val="center"/>
          </w:tcPr>
          <w:p>
            <w:pPr>
              <w:pStyle w:val="12"/>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1.保障我镇办公用房修缮；2.确保预算执行率达到较高水平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0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w:t>
            </w:r>
            <w:r>
              <w:rPr>
                <w:rFonts w:ascii="Times New Roman" w:hAnsi="Times New Roman" w:eastAsia="仿宋_GB2312" w:cs="Times New Roman"/>
                <w:kern w:val="2"/>
                <w:sz w:val="21"/>
                <w:szCs w:val="22"/>
                <w:lang w:val="en-US" w:eastAsia="zh-CN" w:bidi="ar-SA"/>
              </w:rPr>
              <w:t>出指</w:t>
            </w:r>
            <w:r>
              <w:rPr>
                <w:rFonts w:ascii="Times New Roman" w:hAnsi="Times New Roman" w:eastAsia="仿宋_GB2312" w:cs="Times New Roman"/>
              </w:rPr>
              <w:t>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修缮面积</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修缮面积</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≦2535平方米</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修缮合格率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修缮合格率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=100比率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资金拨付及时率</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用于评价项目资金支出是否及时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用于评价项目成本控制是否科学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≦15万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年底决算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3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机关正常运转月数</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机关正常运转月数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 xml:space="preserve"> =12月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vMerge w:val="continue"/>
            <w:shd w:val="clear" w:color="auto" w:fill="auto"/>
            <w:vAlign w:val="center"/>
          </w:tcP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项目持续发挥作用的期限</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用于评价项目持续时间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586"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4020"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≧95比率</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2022年，我部门安排政府采购预算</w:t>
      </w:r>
      <w:r>
        <w:rPr>
          <w:rFonts w:hint="eastAsia" w:ascii="Times New Roman" w:hAnsi="Times New Roman" w:eastAsia="仿宋_GB2312" w:cs="Times New Roman"/>
          <w:sz w:val="32"/>
          <w:szCs w:val="24"/>
          <w:lang w:val="en-US" w:eastAsia="zh-CN"/>
        </w:rPr>
        <w:t>558</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8"/>
        <w:gridCol w:w="1090"/>
        <w:gridCol w:w="1997"/>
        <w:gridCol w:w="1069"/>
        <w:gridCol w:w="818"/>
        <w:gridCol w:w="720"/>
        <w:gridCol w:w="971"/>
        <w:gridCol w:w="1167"/>
        <w:gridCol w:w="1168"/>
        <w:gridCol w:w="916"/>
        <w:gridCol w:w="1331"/>
        <w:gridCol w:w="982"/>
        <w:gridCol w:w="6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5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val="en-US" w:eastAsia="zh-CN"/>
              </w:rPr>
              <w:t>香河县安平镇人民政府</w:t>
            </w:r>
          </w:p>
        </w:tc>
        <w:tc>
          <w:tcPr>
            <w:tcW w:w="625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67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99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06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818"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720"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7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25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588"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090"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997" w:type="dxa"/>
            <w:vMerge w:val="continue"/>
            <w:shd w:val="clear" w:color="auto" w:fill="auto"/>
            <w:vAlign w:val="center"/>
          </w:tcPr>
          <w:p>
            <w:pPr>
              <w:jc w:val="center"/>
            </w:pPr>
          </w:p>
        </w:tc>
        <w:tc>
          <w:tcPr>
            <w:tcW w:w="1069" w:type="dxa"/>
            <w:vMerge w:val="continue"/>
            <w:shd w:val="clear" w:color="auto" w:fill="auto"/>
            <w:vAlign w:val="center"/>
          </w:tcPr>
          <w:p>
            <w:pPr>
              <w:jc w:val="center"/>
            </w:pPr>
          </w:p>
        </w:tc>
        <w:tc>
          <w:tcPr>
            <w:tcW w:w="818" w:type="dxa"/>
            <w:vMerge w:val="continue"/>
            <w:shd w:val="clear" w:color="auto" w:fill="auto"/>
            <w:vAlign w:val="center"/>
          </w:tcPr>
          <w:p>
            <w:pPr>
              <w:jc w:val="center"/>
            </w:pPr>
          </w:p>
        </w:tc>
        <w:tc>
          <w:tcPr>
            <w:tcW w:w="720" w:type="dxa"/>
            <w:vMerge w:val="continue"/>
            <w:shd w:val="clear" w:color="auto" w:fill="auto"/>
            <w:vAlign w:val="center"/>
          </w:tcPr>
          <w:p>
            <w:pPr>
              <w:jc w:val="center"/>
            </w:pPr>
          </w:p>
        </w:tc>
        <w:tc>
          <w:tcPr>
            <w:tcW w:w="971" w:type="dxa"/>
            <w:vMerge w:val="continue"/>
            <w:shd w:val="clear" w:color="auto" w:fill="auto"/>
            <w:vAlign w:val="center"/>
          </w:tcPr>
          <w:p>
            <w:pPr>
              <w:jc w:val="center"/>
            </w:pPr>
          </w:p>
        </w:tc>
        <w:tc>
          <w:tcPr>
            <w:tcW w:w="1167"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68"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916"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331"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982"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690"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88"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090"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558</w:t>
            </w:r>
          </w:p>
        </w:tc>
        <w:tc>
          <w:tcPr>
            <w:tcW w:w="1997" w:type="dxa"/>
            <w:shd w:val="clear" w:color="auto" w:fill="auto"/>
            <w:vAlign w:val="center"/>
          </w:tcPr>
          <w:p>
            <w:pPr>
              <w:spacing w:line="300" w:lineRule="exact"/>
              <w:jc w:val="center"/>
              <w:rPr>
                <w:rFonts w:ascii="方正书宋_GBK" w:eastAsia="方正书宋_GBK" w:cs="Times New Roman"/>
                <w:b/>
              </w:rPr>
            </w:pPr>
          </w:p>
        </w:tc>
        <w:tc>
          <w:tcPr>
            <w:tcW w:w="1069" w:type="dxa"/>
            <w:shd w:val="clear" w:color="auto" w:fill="auto"/>
            <w:vAlign w:val="center"/>
          </w:tcPr>
          <w:p>
            <w:pPr>
              <w:spacing w:line="300" w:lineRule="exact"/>
              <w:jc w:val="center"/>
              <w:rPr>
                <w:rFonts w:ascii="方正书宋_GBK" w:eastAsia="方正书宋_GBK" w:cs="Times New Roman"/>
                <w:b/>
              </w:rPr>
            </w:pPr>
          </w:p>
        </w:tc>
        <w:tc>
          <w:tcPr>
            <w:tcW w:w="818" w:type="dxa"/>
            <w:shd w:val="clear" w:color="auto" w:fill="auto"/>
            <w:vAlign w:val="center"/>
          </w:tcPr>
          <w:p>
            <w:pPr>
              <w:spacing w:line="300" w:lineRule="exact"/>
              <w:jc w:val="center"/>
              <w:rPr>
                <w:rFonts w:ascii="方正书宋_GBK" w:eastAsia="方正书宋_GBK" w:cs="Times New Roman"/>
                <w:b/>
              </w:rPr>
            </w:pPr>
          </w:p>
        </w:tc>
        <w:tc>
          <w:tcPr>
            <w:tcW w:w="720" w:type="dxa"/>
            <w:shd w:val="clear" w:color="auto" w:fill="auto"/>
            <w:vAlign w:val="center"/>
          </w:tcPr>
          <w:p>
            <w:pPr>
              <w:spacing w:line="300" w:lineRule="exact"/>
              <w:jc w:val="center"/>
              <w:rPr>
                <w:rFonts w:ascii="方正书宋_GBK" w:eastAsia="方正书宋_GBK" w:cs="Times New Roman"/>
                <w:b/>
              </w:rPr>
            </w:pPr>
          </w:p>
        </w:tc>
        <w:tc>
          <w:tcPr>
            <w:tcW w:w="971" w:type="dxa"/>
            <w:shd w:val="clear" w:color="auto" w:fill="auto"/>
            <w:vAlign w:val="center"/>
          </w:tcPr>
          <w:p>
            <w:pPr>
              <w:spacing w:line="300" w:lineRule="exact"/>
              <w:jc w:val="center"/>
              <w:rPr>
                <w:rFonts w:ascii="方正书宋_GBK" w:eastAsia="方正书宋_GBK" w:cs="Times New Roman"/>
                <w:b/>
              </w:rPr>
            </w:pPr>
          </w:p>
        </w:tc>
        <w:tc>
          <w:tcPr>
            <w:tcW w:w="1167"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558</w:t>
            </w:r>
          </w:p>
        </w:tc>
        <w:tc>
          <w:tcPr>
            <w:tcW w:w="1168"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558</w:t>
            </w:r>
          </w:p>
        </w:tc>
        <w:tc>
          <w:tcPr>
            <w:tcW w:w="916" w:type="dxa"/>
            <w:shd w:val="clear" w:color="auto" w:fill="auto"/>
            <w:vAlign w:val="center"/>
          </w:tcPr>
          <w:p>
            <w:pPr>
              <w:spacing w:line="300" w:lineRule="exact"/>
              <w:jc w:val="center"/>
              <w:rPr>
                <w:rFonts w:ascii="方正书宋_GBK" w:eastAsia="方正书宋_GBK" w:cs="Times New Roman"/>
                <w:b/>
              </w:rPr>
            </w:pPr>
          </w:p>
        </w:tc>
        <w:tc>
          <w:tcPr>
            <w:tcW w:w="1331" w:type="dxa"/>
            <w:shd w:val="clear" w:color="auto" w:fill="auto"/>
            <w:vAlign w:val="center"/>
          </w:tcPr>
          <w:p>
            <w:pPr>
              <w:spacing w:line="300" w:lineRule="exact"/>
              <w:jc w:val="center"/>
              <w:rPr>
                <w:rFonts w:ascii="方正书宋_GBK" w:eastAsia="方正书宋_GBK" w:cs="Times New Roman"/>
                <w:b/>
              </w:rPr>
            </w:pPr>
          </w:p>
        </w:tc>
        <w:tc>
          <w:tcPr>
            <w:tcW w:w="982" w:type="dxa"/>
            <w:shd w:val="clear" w:color="auto" w:fill="auto"/>
            <w:vAlign w:val="center"/>
          </w:tcPr>
          <w:p>
            <w:pPr>
              <w:spacing w:line="300" w:lineRule="exact"/>
              <w:jc w:val="center"/>
              <w:rPr>
                <w:rFonts w:ascii="方正书宋_GBK" w:eastAsia="方正书宋_GBK" w:cs="Times New Roman"/>
                <w:b/>
              </w:rPr>
            </w:pPr>
          </w:p>
        </w:tc>
        <w:tc>
          <w:tcPr>
            <w:tcW w:w="690" w:type="dxa"/>
            <w:shd w:val="clear" w:color="auto" w:fill="auto"/>
            <w:vAlign w:val="center"/>
          </w:tcPr>
          <w:p>
            <w:pPr>
              <w:spacing w:line="300" w:lineRule="exact"/>
              <w:jc w:val="center"/>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88" w:type="dxa"/>
            <w:shd w:val="clear" w:color="auto" w:fill="auto"/>
            <w:vAlign w:val="center"/>
          </w:tcPr>
          <w:p>
            <w:pPr>
              <w:keepNext w:val="0"/>
              <w:keepLines w:val="0"/>
              <w:widowControl/>
              <w:suppressLineNumbers w:val="0"/>
              <w:jc w:val="center"/>
              <w:textAlignment w:val="center"/>
              <w:rPr>
                <w:rFonts w:ascii="方正书宋_GBK" w:eastAsia="方正书宋_GBK" w:cs="Times New Roman"/>
                <w:b/>
              </w:rPr>
            </w:pPr>
            <w:r>
              <w:rPr>
                <w:rFonts w:hint="eastAsia" w:ascii="宋体" w:hAnsi="宋体" w:eastAsia="宋体" w:cs="宋体"/>
                <w:i w:val="0"/>
                <w:iCs w:val="0"/>
                <w:color w:val="000000"/>
                <w:kern w:val="0"/>
                <w:sz w:val="22"/>
                <w:szCs w:val="22"/>
                <w:u w:val="none"/>
                <w:lang w:val="en-US" w:eastAsia="zh-CN" w:bidi="ar"/>
              </w:rPr>
              <w:t>安平镇村庄规划编制项目资金（本级）</w:t>
            </w:r>
          </w:p>
        </w:tc>
        <w:tc>
          <w:tcPr>
            <w:tcW w:w="1090" w:type="dxa"/>
            <w:shd w:val="clear" w:color="auto" w:fill="auto"/>
            <w:vAlign w:val="center"/>
          </w:tcPr>
          <w:p>
            <w:pPr>
              <w:keepNext w:val="0"/>
              <w:keepLines w:val="0"/>
              <w:widowControl/>
              <w:suppressLineNumbers w:val="0"/>
              <w:jc w:val="center"/>
              <w:textAlignment w:val="center"/>
              <w:rPr>
                <w:rFonts w:ascii="方正书宋_GBK" w:eastAsia="方正书宋_GBK" w:cs="Times New Roman"/>
                <w:b/>
              </w:rPr>
            </w:pPr>
            <w:r>
              <w:rPr>
                <w:rFonts w:hint="default" w:ascii="Calibri" w:hAnsi="Calibri" w:eastAsia="宋体" w:cs="Calibri"/>
                <w:i w:val="0"/>
                <w:iCs w:val="0"/>
                <w:color w:val="000000"/>
                <w:kern w:val="0"/>
                <w:sz w:val="22"/>
                <w:szCs w:val="22"/>
                <w:u w:val="none"/>
                <w:lang w:val="en-US" w:eastAsia="zh-CN" w:bidi="ar"/>
              </w:rPr>
              <w:t>130.00</w:t>
            </w:r>
          </w:p>
        </w:tc>
        <w:tc>
          <w:tcPr>
            <w:tcW w:w="1997" w:type="dxa"/>
            <w:shd w:val="clear" w:color="auto" w:fill="auto"/>
            <w:vAlign w:val="center"/>
          </w:tcPr>
          <w:p>
            <w:pPr>
              <w:keepNext w:val="0"/>
              <w:keepLines w:val="0"/>
              <w:widowControl/>
              <w:suppressLineNumbers w:val="0"/>
              <w:jc w:val="center"/>
              <w:textAlignment w:val="center"/>
              <w:rPr>
                <w:rFonts w:ascii="方正书宋_GBK" w:eastAsia="方正书宋_GBK" w:cs="Times New Roman"/>
                <w:b/>
              </w:rPr>
            </w:pPr>
            <w:r>
              <w:rPr>
                <w:rStyle w:val="13"/>
                <w:lang w:val="en-US" w:eastAsia="zh-CN" w:bidi="ar"/>
              </w:rPr>
              <w:t>其他专业技术服务</w:t>
            </w:r>
          </w:p>
        </w:tc>
        <w:tc>
          <w:tcPr>
            <w:tcW w:w="10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C0908</w:t>
            </w:r>
          </w:p>
        </w:tc>
        <w:tc>
          <w:tcPr>
            <w:tcW w:w="81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套</w:t>
            </w:r>
          </w:p>
        </w:tc>
        <w:tc>
          <w:tcPr>
            <w:tcW w:w="7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130.00</w:t>
            </w:r>
          </w:p>
        </w:tc>
        <w:tc>
          <w:tcPr>
            <w:tcW w:w="11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130.00</w:t>
            </w:r>
          </w:p>
        </w:tc>
        <w:tc>
          <w:tcPr>
            <w:tcW w:w="11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130.00</w:t>
            </w:r>
          </w:p>
        </w:tc>
        <w:tc>
          <w:tcPr>
            <w:tcW w:w="9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31" w:type="dxa"/>
            <w:shd w:val="clear" w:color="auto" w:fill="auto"/>
            <w:vAlign w:val="center"/>
          </w:tcPr>
          <w:p>
            <w:pPr>
              <w:spacing w:line="300" w:lineRule="exact"/>
              <w:jc w:val="center"/>
              <w:rPr>
                <w:rFonts w:ascii="方正书宋_GBK" w:eastAsia="方正书宋_GBK" w:cs="Times New Roman"/>
                <w:b/>
              </w:rPr>
            </w:pPr>
          </w:p>
        </w:tc>
        <w:tc>
          <w:tcPr>
            <w:tcW w:w="982" w:type="dxa"/>
            <w:shd w:val="clear" w:color="auto" w:fill="auto"/>
            <w:vAlign w:val="center"/>
          </w:tcPr>
          <w:p>
            <w:pPr>
              <w:spacing w:line="300" w:lineRule="exact"/>
              <w:jc w:val="center"/>
              <w:rPr>
                <w:rFonts w:ascii="方正书宋_GBK" w:eastAsia="方正书宋_GBK" w:cs="Times New Roman"/>
                <w:b/>
              </w:rPr>
            </w:pPr>
          </w:p>
        </w:tc>
        <w:tc>
          <w:tcPr>
            <w:tcW w:w="690" w:type="dxa"/>
            <w:shd w:val="clear" w:color="auto" w:fill="auto"/>
            <w:vAlign w:val="center"/>
          </w:tcPr>
          <w:p>
            <w:pPr>
              <w:spacing w:line="300" w:lineRule="exact"/>
              <w:jc w:val="center"/>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88" w:type="dxa"/>
            <w:shd w:val="clear" w:color="auto" w:fill="auto"/>
            <w:vAlign w:val="center"/>
          </w:tcPr>
          <w:p>
            <w:pPr>
              <w:keepNext w:val="0"/>
              <w:keepLines w:val="0"/>
              <w:widowControl/>
              <w:suppressLineNumbers w:val="0"/>
              <w:jc w:val="center"/>
              <w:textAlignment w:val="center"/>
              <w:rPr>
                <w:rFonts w:ascii="方正书宋_GBK" w:eastAsia="方正书宋_GBK" w:cs="Times New Roman"/>
              </w:rPr>
            </w:pPr>
            <w:r>
              <w:rPr>
                <w:rFonts w:hint="eastAsia" w:ascii="宋体" w:hAnsi="宋体" w:eastAsia="宋体" w:cs="宋体"/>
                <w:i w:val="0"/>
                <w:iCs w:val="0"/>
                <w:color w:val="000000"/>
                <w:kern w:val="0"/>
                <w:sz w:val="22"/>
                <w:szCs w:val="22"/>
                <w:u w:val="none"/>
                <w:lang w:val="en-US" w:eastAsia="zh-CN" w:bidi="ar"/>
              </w:rPr>
              <w:t>安平镇控制性详细规划修编资金（本级）</w:t>
            </w:r>
          </w:p>
        </w:tc>
        <w:tc>
          <w:tcPr>
            <w:tcW w:w="1090" w:type="dxa"/>
            <w:shd w:val="clear" w:color="auto" w:fill="auto"/>
            <w:vAlign w:val="center"/>
          </w:tcPr>
          <w:p>
            <w:pPr>
              <w:keepNext w:val="0"/>
              <w:keepLines w:val="0"/>
              <w:widowControl/>
              <w:suppressLineNumbers w:val="0"/>
              <w:jc w:val="center"/>
              <w:textAlignment w:val="center"/>
              <w:rPr>
                <w:rFonts w:ascii="方正书宋_GBK" w:eastAsia="方正书宋_GBK" w:cs="Times New Roman"/>
              </w:rPr>
            </w:pPr>
            <w:r>
              <w:rPr>
                <w:rFonts w:hint="default" w:ascii="Calibri" w:hAnsi="Calibri" w:eastAsia="宋体" w:cs="Calibri"/>
                <w:i w:val="0"/>
                <w:iCs w:val="0"/>
                <w:color w:val="000000"/>
                <w:kern w:val="0"/>
                <w:sz w:val="22"/>
                <w:szCs w:val="22"/>
                <w:u w:val="none"/>
                <w:lang w:val="en-US" w:eastAsia="zh-CN" w:bidi="ar"/>
              </w:rPr>
              <w:t>160.00</w:t>
            </w:r>
          </w:p>
        </w:tc>
        <w:tc>
          <w:tcPr>
            <w:tcW w:w="1997" w:type="dxa"/>
            <w:shd w:val="clear" w:color="auto" w:fill="auto"/>
            <w:vAlign w:val="center"/>
          </w:tcPr>
          <w:p>
            <w:pPr>
              <w:keepNext w:val="0"/>
              <w:keepLines w:val="0"/>
              <w:widowControl/>
              <w:suppressLineNumbers w:val="0"/>
              <w:jc w:val="center"/>
              <w:textAlignment w:val="center"/>
              <w:rPr>
                <w:rFonts w:ascii="方正书宋_GBK" w:eastAsia="方正书宋_GBK" w:cs="Times New Roman"/>
              </w:rPr>
            </w:pPr>
            <w:r>
              <w:rPr>
                <w:rFonts w:hint="default" w:ascii="Calibri" w:hAnsi="Calibri" w:eastAsia="宋体" w:cs="Calibri"/>
                <w:i w:val="0"/>
                <w:iCs w:val="0"/>
                <w:color w:val="000000"/>
                <w:kern w:val="0"/>
                <w:sz w:val="22"/>
                <w:szCs w:val="22"/>
                <w:u w:val="none"/>
                <w:lang w:val="en-US" w:eastAsia="zh-CN" w:bidi="ar"/>
              </w:rPr>
              <w:t>其他专业技术服务</w:t>
            </w:r>
          </w:p>
        </w:tc>
        <w:tc>
          <w:tcPr>
            <w:tcW w:w="10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C0908</w:t>
            </w:r>
          </w:p>
        </w:tc>
        <w:tc>
          <w:tcPr>
            <w:tcW w:w="81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套</w:t>
            </w:r>
          </w:p>
        </w:tc>
        <w:tc>
          <w:tcPr>
            <w:tcW w:w="7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160.00</w:t>
            </w:r>
          </w:p>
        </w:tc>
        <w:tc>
          <w:tcPr>
            <w:tcW w:w="11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160.00</w:t>
            </w:r>
          </w:p>
        </w:tc>
        <w:tc>
          <w:tcPr>
            <w:tcW w:w="11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160.00</w:t>
            </w:r>
          </w:p>
        </w:tc>
        <w:tc>
          <w:tcPr>
            <w:tcW w:w="9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31" w:type="dxa"/>
            <w:shd w:val="clear" w:color="auto" w:fill="auto"/>
            <w:vAlign w:val="center"/>
          </w:tcPr>
          <w:p>
            <w:pPr>
              <w:spacing w:line="300" w:lineRule="exact"/>
              <w:jc w:val="center"/>
              <w:rPr>
                <w:rFonts w:ascii="方正书宋_GBK" w:eastAsia="方正书宋_GBK" w:cs="Times New Roman"/>
              </w:rPr>
            </w:pPr>
          </w:p>
        </w:tc>
        <w:tc>
          <w:tcPr>
            <w:tcW w:w="982" w:type="dxa"/>
            <w:shd w:val="clear" w:color="auto" w:fill="auto"/>
            <w:vAlign w:val="center"/>
          </w:tcPr>
          <w:p>
            <w:pPr>
              <w:spacing w:line="300" w:lineRule="exact"/>
              <w:jc w:val="center"/>
              <w:rPr>
                <w:rFonts w:ascii="方正书宋_GBK" w:eastAsia="方正书宋_GBK" w:cs="Times New Roman"/>
              </w:rPr>
            </w:pPr>
          </w:p>
        </w:tc>
        <w:tc>
          <w:tcPr>
            <w:tcW w:w="690" w:type="dxa"/>
            <w:shd w:val="clear" w:color="auto" w:fill="auto"/>
            <w:vAlign w:val="center"/>
          </w:tcPr>
          <w:p>
            <w:pPr>
              <w:spacing w:line="300" w:lineRule="exact"/>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88" w:type="dxa"/>
            <w:shd w:val="clear" w:color="auto" w:fill="auto"/>
            <w:vAlign w:val="center"/>
          </w:tcPr>
          <w:p>
            <w:pPr>
              <w:keepNext w:val="0"/>
              <w:keepLines w:val="0"/>
              <w:widowControl/>
              <w:suppressLineNumbers w:val="0"/>
              <w:jc w:val="center"/>
              <w:textAlignment w:val="center"/>
              <w:rPr>
                <w:rFonts w:ascii="方正书宋_GBK" w:eastAsia="方正书宋_GBK" w:cs="Times New Roman"/>
              </w:rPr>
            </w:pPr>
            <w:r>
              <w:rPr>
                <w:rFonts w:hint="eastAsia" w:ascii="宋体" w:hAnsi="宋体" w:eastAsia="宋体" w:cs="宋体"/>
                <w:i w:val="0"/>
                <w:iCs w:val="0"/>
                <w:color w:val="000000"/>
                <w:kern w:val="0"/>
                <w:sz w:val="22"/>
                <w:szCs w:val="22"/>
                <w:u w:val="none"/>
                <w:lang w:val="en-US" w:eastAsia="zh-CN" w:bidi="ar"/>
              </w:rPr>
              <w:t>老夏安线两侧绿化带养护资金（本级）</w:t>
            </w:r>
          </w:p>
        </w:tc>
        <w:tc>
          <w:tcPr>
            <w:tcW w:w="1090" w:type="dxa"/>
            <w:shd w:val="clear" w:color="auto" w:fill="auto"/>
            <w:vAlign w:val="center"/>
          </w:tcPr>
          <w:p>
            <w:pPr>
              <w:keepNext w:val="0"/>
              <w:keepLines w:val="0"/>
              <w:widowControl/>
              <w:suppressLineNumbers w:val="0"/>
              <w:jc w:val="center"/>
              <w:textAlignment w:val="center"/>
              <w:rPr>
                <w:rFonts w:ascii="方正书宋_GBK" w:eastAsia="方正书宋_GBK" w:cs="Times New Roman"/>
              </w:rPr>
            </w:pPr>
            <w:r>
              <w:rPr>
                <w:rFonts w:hint="default" w:ascii="Calibri" w:hAnsi="Calibri" w:eastAsia="宋体" w:cs="Calibri"/>
                <w:i w:val="0"/>
                <w:iCs w:val="0"/>
                <w:color w:val="000000"/>
                <w:kern w:val="0"/>
                <w:sz w:val="22"/>
                <w:szCs w:val="22"/>
                <w:u w:val="none"/>
                <w:lang w:val="en-US" w:eastAsia="zh-CN" w:bidi="ar"/>
              </w:rPr>
              <w:t>268.00</w:t>
            </w:r>
          </w:p>
        </w:tc>
        <w:tc>
          <w:tcPr>
            <w:tcW w:w="1997" w:type="dxa"/>
            <w:shd w:val="clear" w:color="auto" w:fill="auto"/>
            <w:vAlign w:val="center"/>
          </w:tcPr>
          <w:p>
            <w:pPr>
              <w:keepNext w:val="0"/>
              <w:keepLines w:val="0"/>
              <w:widowControl/>
              <w:suppressLineNumbers w:val="0"/>
              <w:jc w:val="center"/>
              <w:textAlignment w:val="center"/>
              <w:rPr>
                <w:rFonts w:ascii="方正书宋_GBK" w:eastAsia="方正书宋_GBK" w:cs="Times New Roman"/>
              </w:rPr>
            </w:pPr>
            <w:r>
              <w:rPr>
                <w:rStyle w:val="13"/>
                <w:lang w:val="en-US" w:eastAsia="zh-CN" w:bidi="ar"/>
              </w:rPr>
              <w:t>林木抚育管理服务</w:t>
            </w:r>
          </w:p>
        </w:tc>
        <w:tc>
          <w:tcPr>
            <w:tcW w:w="10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C210202</w:t>
            </w:r>
          </w:p>
        </w:tc>
        <w:tc>
          <w:tcPr>
            <w:tcW w:w="81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年</w:t>
            </w:r>
          </w:p>
        </w:tc>
        <w:tc>
          <w:tcPr>
            <w:tcW w:w="7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7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268.00</w:t>
            </w:r>
          </w:p>
        </w:tc>
        <w:tc>
          <w:tcPr>
            <w:tcW w:w="116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268.00</w:t>
            </w:r>
          </w:p>
        </w:tc>
        <w:tc>
          <w:tcPr>
            <w:tcW w:w="11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268.00</w:t>
            </w:r>
          </w:p>
        </w:tc>
        <w:tc>
          <w:tcPr>
            <w:tcW w:w="91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31" w:type="dxa"/>
            <w:shd w:val="clear" w:color="auto" w:fill="auto"/>
            <w:vAlign w:val="center"/>
          </w:tcPr>
          <w:p>
            <w:pPr>
              <w:spacing w:line="300" w:lineRule="exact"/>
              <w:jc w:val="center"/>
              <w:rPr>
                <w:rFonts w:ascii="方正书宋_GBK" w:eastAsia="方正书宋_GBK" w:cs="Times New Roman"/>
              </w:rPr>
            </w:pPr>
          </w:p>
        </w:tc>
        <w:tc>
          <w:tcPr>
            <w:tcW w:w="982" w:type="dxa"/>
            <w:shd w:val="clear" w:color="auto" w:fill="auto"/>
            <w:vAlign w:val="center"/>
          </w:tcPr>
          <w:p>
            <w:pPr>
              <w:spacing w:line="300" w:lineRule="exact"/>
              <w:jc w:val="center"/>
              <w:rPr>
                <w:rFonts w:ascii="方正书宋_GBK" w:eastAsia="方正书宋_GBK" w:cs="Times New Roman"/>
              </w:rPr>
            </w:pPr>
          </w:p>
        </w:tc>
        <w:tc>
          <w:tcPr>
            <w:tcW w:w="690" w:type="dxa"/>
            <w:shd w:val="clear" w:color="auto" w:fill="auto"/>
            <w:vAlign w:val="center"/>
          </w:tcPr>
          <w:p>
            <w:pPr>
              <w:spacing w:line="300" w:lineRule="exact"/>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88" w:type="dxa"/>
            <w:shd w:val="clear" w:color="auto" w:fill="auto"/>
            <w:vAlign w:val="center"/>
          </w:tcPr>
          <w:p>
            <w:pPr>
              <w:spacing w:line="300" w:lineRule="exact"/>
              <w:jc w:val="left"/>
              <w:rPr>
                <w:rFonts w:ascii="方正书宋_GBK" w:eastAsia="方正书宋_GBK" w:cs="Times New Roman"/>
              </w:rPr>
            </w:pPr>
          </w:p>
        </w:tc>
        <w:tc>
          <w:tcPr>
            <w:tcW w:w="1090" w:type="dxa"/>
            <w:shd w:val="clear" w:color="auto" w:fill="auto"/>
            <w:vAlign w:val="center"/>
          </w:tcPr>
          <w:p>
            <w:pPr>
              <w:spacing w:line="300" w:lineRule="exact"/>
              <w:jc w:val="right"/>
              <w:rPr>
                <w:rFonts w:ascii="方正书宋_GBK" w:eastAsia="方正书宋_GBK" w:cs="Times New Roman"/>
              </w:rPr>
            </w:pPr>
          </w:p>
        </w:tc>
        <w:tc>
          <w:tcPr>
            <w:tcW w:w="1997" w:type="dxa"/>
            <w:shd w:val="clear" w:color="auto" w:fill="auto"/>
            <w:vAlign w:val="center"/>
          </w:tcPr>
          <w:p>
            <w:pPr>
              <w:spacing w:line="300" w:lineRule="exact"/>
              <w:jc w:val="left"/>
              <w:rPr>
                <w:rFonts w:ascii="方正书宋_GBK" w:eastAsia="方正书宋_GBK" w:cs="Times New Roman"/>
              </w:rPr>
            </w:pPr>
          </w:p>
        </w:tc>
        <w:tc>
          <w:tcPr>
            <w:tcW w:w="1069" w:type="dxa"/>
            <w:shd w:val="clear" w:color="auto" w:fill="auto"/>
            <w:vAlign w:val="center"/>
          </w:tcPr>
          <w:p>
            <w:pPr>
              <w:spacing w:line="300" w:lineRule="exact"/>
              <w:jc w:val="left"/>
              <w:rPr>
                <w:rFonts w:ascii="方正书宋_GBK" w:eastAsia="方正书宋_GBK" w:cs="Times New Roman"/>
              </w:rPr>
            </w:pPr>
          </w:p>
        </w:tc>
        <w:tc>
          <w:tcPr>
            <w:tcW w:w="818" w:type="dxa"/>
            <w:shd w:val="clear" w:color="auto" w:fill="auto"/>
            <w:vAlign w:val="center"/>
          </w:tcPr>
          <w:p>
            <w:pPr>
              <w:spacing w:line="300" w:lineRule="exact"/>
              <w:jc w:val="center"/>
              <w:rPr>
                <w:rFonts w:ascii="方正书宋_GBK" w:eastAsia="方正书宋_GBK" w:cs="Times New Roman"/>
              </w:rPr>
            </w:pPr>
          </w:p>
        </w:tc>
        <w:tc>
          <w:tcPr>
            <w:tcW w:w="720" w:type="dxa"/>
            <w:shd w:val="clear" w:color="auto" w:fill="auto"/>
            <w:vAlign w:val="center"/>
          </w:tcPr>
          <w:p>
            <w:pPr>
              <w:spacing w:line="300" w:lineRule="exact"/>
              <w:jc w:val="right"/>
              <w:rPr>
                <w:rFonts w:ascii="方正书宋_GBK" w:eastAsia="方正书宋_GBK" w:cs="Times New Roman"/>
              </w:rPr>
            </w:pPr>
          </w:p>
        </w:tc>
        <w:tc>
          <w:tcPr>
            <w:tcW w:w="971" w:type="dxa"/>
            <w:shd w:val="clear" w:color="auto" w:fill="auto"/>
            <w:vAlign w:val="center"/>
          </w:tcPr>
          <w:p>
            <w:pPr>
              <w:spacing w:line="300" w:lineRule="exact"/>
              <w:jc w:val="right"/>
              <w:rPr>
                <w:rFonts w:ascii="方正书宋_GBK" w:eastAsia="方正书宋_GBK" w:cs="Times New Roman"/>
              </w:rPr>
            </w:pPr>
          </w:p>
        </w:tc>
        <w:tc>
          <w:tcPr>
            <w:tcW w:w="1167" w:type="dxa"/>
            <w:shd w:val="clear" w:color="auto" w:fill="auto"/>
            <w:vAlign w:val="center"/>
          </w:tcPr>
          <w:p>
            <w:pPr>
              <w:spacing w:line="300" w:lineRule="exact"/>
              <w:jc w:val="right"/>
              <w:rPr>
                <w:rFonts w:ascii="方正书宋_GBK" w:eastAsia="方正书宋_GBK" w:cs="Times New Roman"/>
              </w:rPr>
            </w:pPr>
          </w:p>
        </w:tc>
        <w:tc>
          <w:tcPr>
            <w:tcW w:w="1168" w:type="dxa"/>
            <w:shd w:val="clear" w:color="auto" w:fill="auto"/>
            <w:vAlign w:val="center"/>
          </w:tcPr>
          <w:p>
            <w:pPr>
              <w:spacing w:line="300" w:lineRule="exact"/>
              <w:jc w:val="right"/>
              <w:rPr>
                <w:rFonts w:ascii="方正书宋_GBK" w:eastAsia="方正书宋_GBK" w:cs="Times New Roman"/>
              </w:rPr>
            </w:pPr>
          </w:p>
        </w:tc>
        <w:tc>
          <w:tcPr>
            <w:tcW w:w="916" w:type="dxa"/>
            <w:shd w:val="clear" w:color="auto" w:fill="auto"/>
            <w:vAlign w:val="center"/>
          </w:tcPr>
          <w:p>
            <w:pPr>
              <w:spacing w:line="300" w:lineRule="exact"/>
              <w:jc w:val="right"/>
              <w:rPr>
                <w:rFonts w:ascii="方正书宋_GBK" w:eastAsia="方正书宋_GBK" w:cs="Times New Roman"/>
              </w:rPr>
            </w:pPr>
          </w:p>
        </w:tc>
        <w:tc>
          <w:tcPr>
            <w:tcW w:w="1331" w:type="dxa"/>
            <w:shd w:val="clear" w:color="auto" w:fill="auto"/>
            <w:vAlign w:val="center"/>
          </w:tcPr>
          <w:p>
            <w:pPr>
              <w:spacing w:line="300" w:lineRule="exact"/>
              <w:jc w:val="right"/>
              <w:rPr>
                <w:rFonts w:ascii="方正书宋_GBK" w:eastAsia="方正书宋_GBK" w:cs="Times New Roman"/>
              </w:rPr>
            </w:pPr>
          </w:p>
        </w:tc>
        <w:tc>
          <w:tcPr>
            <w:tcW w:w="982" w:type="dxa"/>
            <w:shd w:val="clear" w:color="auto" w:fill="auto"/>
            <w:vAlign w:val="center"/>
          </w:tcPr>
          <w:p>
            <w:pPr>
              <w:spacing w:line="300" w:lineRule="exact"/>
              <w:jc w:val="right"/>
              <w:rPr>
                <w:rFonts w:ascii="方正书宋_GBK" w:eastAsia="方正书宋_GBK" w:cs="Times New Roman"/>
              </w:rPr>
            </w:pPr>
          </w:p>
        </w:tc>
        <w:tc>
          <w:tcPr>
            <w:tcW w:w="690"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88" w:type="dxa"/>
            <w:shd w:val="clear" w:color="auto" w:fill="auto"/>
            <w:vAlign w:val="center"/>
          </w:tcPr>
          <w:p>
            <w:pPr>
              <w:spacing w:line="300" w:lineRule="exact"/>
              <w:jc w:val="left"/>
              <w:rPr>
                <w:rFonts w:ascii="方正书宋_GBK" w:eastAsia="方正书宋_GBK" w:cs="Times New Roman"/>
              </w:rPr>
            </w:pPr>
          </w:p>
        </w:tc>
        <w:tc>
          <w:tcPr>
            <w:tcW w:w="1090" w:type="dxa"/>
            <w:shd w:val="clear" w:color="auto" w:fill="auto"/>
            <w:vAlign w:val="center"/>
          </w:tcPr>
          <w:p>
            <w:pPr>
              <w:spacing w:line="300" w:lineRule="exact"/>
              <w:jc w:val="right"/>
              <w:rPr>
                <w:rFonts w:ascii="方正书宋_GBK" w:eastAsia="方正书宋_GBK" w:cs="Times New Roman"/>
              </w:rPr>
            </w:pPr>
          </w:p>
        </w:tc>
        <w:tc>
          <w:tcPr>
            <w:tcW w:w="1997" w:type="dxa"/>
            <w:shd w:val="clear" w:color="auto" w:fill="auto"/>
            <w:vAlign w:val="center"/>
          </w:tcPr>
          <w:p>
            <w:pPr>
              <w:spacing w:line="300" w:lineRule="exact"/>
              <w:jc w:val="left"/>
              <w:rPr>
                <w:rFonts w:ascii="方正书宋_GBK" w:eastAsia="方正书宋_GBK" w:cs="Times New Roman"/>
              </w:rPr>
            </w:pPr>
          </w:p>
        </w:tc>
        <w:tc>
          <w:tcPr>
            <w:tcW w:w="1069" w:type="dxa"/>
            <w:shd w:val="clear" w:color="auto" w:fill="auto"/>
            <w:vAlign w:val="center"/>
          </w:tcPr>
          <w:p>
            <w:pPr>
              <w:spacing w:line="300" w:lineRule="exact"/>
              <w:jc w:val="left"/>
              <w:rPr>
                <w:rFonts w:ascii="方正书宋_GBK" w:eastAsia="方正书宋_GBK" w:cs="Times New Roman"/>
              </w:rPr>
            </w:pPr>
          </w:p>
        </w:tc>
        <w:tc>
          <w:tcPr>
            <w:tcW w:w="818" w:type="dxa"/>
            <w:shd w:val="clear" w:color="auto" w:fill="auto"/>
            <w:vAlign w:val="center"/>
          </w:tcPr>
          <w:p>
            <w:pPr>
              <w:spacing w:line="300" w:lineRule="exact"/>
              <w:jc w:val="center"/>
              <w:rPr>
                <w:rFonts w:ascii="方正书宋_GBK" w:eastAsia="方正书宋_GBK" w:cs="Times New Roman"/>
              </w:rPr>
            </w:pPr>
          </w:p>
        </w:tc>
        <w:tc>
          <w:tcPr>
            <w:tcW w:w="720" w:type="dxa"/>
            <w:shd w:val="clear" w:color="auto" w:fill="auto"/>
            <w:vAlign w:val="center"/>
          </w:tcPr>
          <w:p>
            <w:pPr>
              <w:spacing w:line="300" w:lineRule="exact"/>
              <w:jc w:val="right"/>
              <w:rPr>
                <w:rFonts w:ascii="方正书宋_GBK" w:eastAsia="方正书宋_GBK" w:cs="Times New Roman"/>
              </w:rPr>
            </w:pPr>
          </w:p>
        </w:tc>
        <w:tc>
          <w:tcPr>
            <w:tcW w:w="971" w:type="dxa"/>
            <w:shd w:val="clear" w:color="auto" w:fill="auto"/>
            <w:vAlign w:val="center"/>
          </w:tcPr>
          <w:p>
            <w:pPr>
              <w:spacing w:line="300" w:lineRule="exact"/>
              <w:jc w:val="right"/>
              <w:rPr>
                <w:rFonts w:ascii="方正书宋_GBK" w:eastAsia="方正书宋_GBK" w:cs="Times New Roman"/>
              </w:rPr>
            </w:pPr>
          </w:p>
        </w:tc>
        <w:tc>
          <w:tcPr>
            <w:tcW w:w="1167" w:type="dxa"/>
            <w:shd w:val="clear" w:color="auto" w:fill="auto"/>
            <w:vAlign w:val="center"/>
          </w:tcPr>
          <w:p>
            <w:pPr>
              <w:spacing w:line="300" w:lineRule="exact"/>
              <w:jc w:val="right"/>
              <w:rPr>
                <w:rFonts w:ascii="方正书宋_GBK" w:eastAsia="方正书宋_GBK" w:cs="Times New Roman"/>
              </w:rPr>
            </w:pPr>
          </w:p>
        </w:tc>
        <w:tc>
          <w:tcPr>
            <w:tcW w:w="1168" w:type="dxa"/>
            <w:shd w:val="clear" w:color="auto" w:fill="auto"/>
            <w:vAlign w:val="center"/>
          </w:tcPr>
          <w:p>
            <w:pPr>
              <w:spacing w:line="300" w:lineRule="exact"/>
              <w:jc w:val="right"/>
              <w:rPr>
                <w:rFonts w:ascii="方正书宋_GBK" w:eastAsia="方正书宋_GBK" w:cs="Times New Roman"/>
              </w:rPr>
            </w:pPr>
          </w:p>
        </w:tc>
        <w:tc>
          <w:tcPr>
            <w:tcW w:w="916" w:type="dxa"/>
            <w:shd w:val="clear" w:color="auto" w:fill="auto"/>
            <w:vAlign w:val="center"/>
          </w:tcPr>
          <w:p>
            <w:pPr>
              <w:spacing w:line="300" w:lineRule="exact"/>
              <w:jc w:val="right"/>
              <w:rPr>
                <w:rFonts w:ascii="方正书宋_GBK" w:eastAsia="方正书宋_GBK" w:cs="Times New Roman"/>
              </w:rPr>
            </w:pPr>
          </w:p>
        </w:tc>
        <w:tc>
          <w:tcPr>
            <w:tcW w:w="1331" w:type="dxa"/>
            <w:shd w:val="clear" w:color="auto" w:fill="auto"/>
            <w:vAlign w:val="center"/>
          </w:tcPr>
          <w:p>
            <w:pPr>
              <w:spacing w:line="300" w:lineRule="exact"/>
              <w:jc w:val="right"/>
              <w:rPr>
                <w:rFonts w:ascii="方正书宋_GBK" w:eastAsia="方正书宋_GBK" w:cs="Times New Roman"/>
              </w:rPr>
            </w:pPr>
          </w:p>
        </w:tc>
        <w:tc>
          <w:tcPr>
            <w:tcW w:w="982" w:type="dxa"/>
            <w:shd w:val="clear" w:color="auto" w:fill="auto"/>
            <w:vAlign w:val="center"/>
          </w:tcPr>
          <w:p>
            <w:pPr>
              <w:spacing w:line="300" w:lineRule="exact"/>
              <w:jc w:val="right"/>
              <w:rPr>
                <w:rFonts w:ascii="方正书宋_GBK" w:eastAsia="方正书宋_GBK" w:cs="Times New Roman"/>
              </w:rPr>
            </w:pPr>
          </w:p>
        </w:tc>
        <w:tc>
          <w:tcPr>
            <w:tcW w:w="690"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88" w:type="dxa"/>
            <w:shd w:val="clear" w:color="auto" w:fill="auto"/>
            <w:vAlign w:val="center"/>
          </w:tcPr>
          <w:p>
            <w:pPr>
              <w:spacing w:line="300" w:lineRule="exact"/>
              <w:jc w:val="left"/>
              <w:rPr>
                <w:rFonts w:ascii="方正书宋_GBK" w:eastAsia="方正书宋_GBK" w:cs="Times New Roman"/>
              </w:rPr>
            </w:pPr>
          </w:p>
        </w:tc>
        <w:tc>
          <w:tcPr>
            <w:tcW w:w="1090" w:type="dxa"/>
            <w:shd w:val="clear" w:color="auto" w:fill="auto"/>
            <w:vAlign w:val="center"/>
          </w:tcPr>
          <w:p>
            <w:pPr>
              <w:spacing w:line="300" w:lineRule="exact"/>
              <w:jc w:val="right"/>
              <w:rPr>
                <w:rFonts w:ascii="方正书宋_GBK" w:eastAsia="方正书宋_GBK" w:cs="Times New Roman"/>
              </w:rPr>
            </w:pPr>
          </w:p>
        </w:tc>
        <w:tc>
          <w:tcPr>
            <w:tcW w:w="1997" w:type="dxa"/>
            <w:shd w:val="clear" w:color="auto" w:fill="auto"/>
            <w:vAlign w:val="center"/>
          </w:tcPr>
          <w:p>
            <w:pPr>
              <w:spacing w:line="300" w:lineRule="exact"/>
              <w:jc w:val="left"/>
              <w:rPr>
                <w:rFonts w:ascii="方正书宋_GBK" w:eastAsia="方正书宋_GBK" w:cs="Times New Roman"/>
              </w:rPr>
            </w:pPr>
          </w:p>
        </w:tc>
        <w:tc>
          <w:tcPr>
            <w:tcW w:w="1069" w:type="dxa"/>
            <w:shd w:val="clear" w:color="auto" w:fill="auto"/>
            <w:vAlign w:val="center"/>
          </w:tcPr>
          <w:p>
            <w:pPr>
              <w:spacing w:line="300" w:lineRule="exact"/>
              <w:jc w:val="left"/>
              <w:rPr>
                <w:rFonts w:ascii="方正书宋_GBK" w:eastAsia="方正书宋_GBK" w:cs="Times New Roman"/>
              </w:rPr>
            </w:pPr>
          </w:p>
        </w:tc>
        <w:tc>
          <w:tcPr>
            <w:tcW w:w="818" w:type="dxa"/>
            <w:shd w:val="clear" w:color="auto" w:fill="auto"/>
            <w:vAlign w:val="center"/>
          </w:tcPr>
          <w:p>
            <w:pPr>
              <w:spacing w:line="300" w:lineRule="exact"/>
              <w:jc w:val="center"/>
              <w:rPr>
                <w:rFonts w:ascii="方正书宋_GBK" w:eastAsia="方正书宋_GBK" w:cs="Times New Roman"/>
              </w:rPr>
            </w:pPr>
          </w:p>
        </w:tc>
        <w:tc>
          <w:tcPr>
            <w:tcW w:w="720" w:type="dxa"/>
            <w:shd w:val="clear" w:color="auto" w:fill="auto"/>
            <w:vAlign w:val="center"/>
          </w:tcPr>
          <w:p>
            <w:pPr>
              <w:spacing w:line="300" w:lineRule="exact"/>
              <w:jc w:val="right"/>
              <w:rPr>
                <w:rFonts w:ascii="方正书宋_GBK" w:eastAsia="方正书宋_GBK" w:cs="Times New Roman"/>
              </w:rPr>
            </w:pPr>
          </w:p>
        </w:tc>
        <w:tc>
          <w:tcPr>
            <w:tcW w:w="971" w:type="dxa"/>
            <w:shd w:val="clear" w:color="auto" w:fill="auto"/>
            <w:vAlign w:val="center"/>
          </w:tcPr>
          <w:p>
            <w:pPr>
              <w:spacing w:line="300" w:lineRule="exact"/>
              <w:jc w:val="right"/>
              <w:rPr>
                <w:rFonts w:ascii="方正书宋_GBK" w:eastAsia="方正书宋_GBK" w:cs="Times New Roman"/>
              </w:rPr>
            </w:pPr>
          </w:p>
        </w:tc>
        <w:tc>
          <w:tcPr>
            <w:tcW w:w="1167" w:type="dxa"/>
            <w:shd w:val="clear" w:color="auto" w:fill="auto"/>
            <w:vAlign w:val="center"/>
          </w:tcPr>
          <w:p>
            <w:pPr>
              <w:spacing w:line="300" w:lineRule="exact"/>
              <w:jc w:val="right"/>
              <w:rPr>
                <w:rFonts w:ascii="方正书宋_GBK" w:eastAsia="方正书宋_GBK" w:cs="Times New Roman"/>
              </w:rPr>
            </w:pPr>
          </w:p>
        </w:tc>
        <w:tc>
          <w:tcPr>
            <w:tcW w:w="1168" w:type="dxa"/>
            <w:shd w:val="clear" w:color="auto" w:fill="auto"/>
            <w:vAlign w:val="center"/>
          </w:tcPr>
          <w:p>
            <w:pPr>
              <w:spacing w:line="300" w:lineRule="exact"/>
              <w:jc w:val="right"/>
              <w:rPr>
                <w:rFonts w:ascii="方正书宋_GBK" w:eastAsia="方正书宋_GBK" w:cs="Times New Roman"/>
              </w:rPr>
            </w:pPr>
          </w:p>
        </w:tc>
        <w:tc>
          <w:tcPr>
            <w:tcW w:w="916" w:type="dxa"/>
            <w:shd w:val="clear" w:color="auto" w:fill="auto"/>
            <w:vAlign w:val="center"/>
          </w:tcPr>
          <w:p>
            <w:pPr>
              <w:spacing w:line="300" w:lineRule="exact"/>
              <w:jc w:val="right"/>
              <w:rPr>
                <w:rFonts w:ascii="方正书宋_GBK" w:eastAsia="方正书宋_GBK" w:cs="Times New Roman"/>
              </w:rPr>
            </w:pPr>
          </w:p>
        </w:tc>
        <w:tc>
          <w:tcPr>
            <w:tcW w:w="1331" w:type="dxa"/>
            <w:shd w:val="clear" w:color="auto" w:fill="auto"/>
            <w:vAlign w:val="center"/>
          </w:tcPr>
          <w:p>
            <w:pPr>
              <w:spacing w:line="300" w:lineRule="exact"/>
              <w:jc w:val="right"/>
              <w:rPr>
                <w:rFonts w:ascii="方正书宋_GBK" w:eastAsia="方正书宋_GBK" w:cs="Times New Roman"/>
              </w:rPr>
            </w:pPr>
          </w:p>
        </w:tc>
        <w:tc>
          <w:tcPr>
            <w:tcW w:w="982" w:type="dxa"/>
            <w:shd w:val="clear" w:color="auto" w:fill="auto"/>
            <w:vAlign w:val="center"/>
          </w:tcPr>
          <w:p>
            <w:pPr>
              <w:spacing w:line="300" w:lineRule="exact"/>
              <w:jc w:val="right"/>
              <w:rPr>
                <w:rFonts w:ascii="方正书宋_GBK" w:eastAsia="方正书宋_GBK" w:cs="Times New Roman"/>
              </w:rPr>
            </w:pPr>
          </w:p>
        </w:tc>
        <w:tc>
          <w:tcPr>
            <w:tcW w:w="690"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88" w:type="dxa"/>
            <w:shd w:val="clear" w:color="auto" w:fill="auto"/>
            <w:vAlign w:val="center"/>
          </w:tcPr>
          <w:p>
            <w:pPr>
              <w:spacing w:line="300" w:lineRule="exact"/>
              <w:jc w:val="left"/>
              <w:rPr>
                <w:rFonts w:ascii="方正书宋_GBK" w:eastAsia="方正书宋_GBK" w:cs="Times New Roman"/>
              </w:rPr>
            </w:pPr>
          </w:p>
        </w:tc>
        <w:tc>
          <w:tcPr>
            <w:tcW w:w="1090" w:type="dxa"/>
            <w:shd w:val="clear" w:color="auto" w:fill="auto"/>
            <w:vAlign w:val="center"/>
          </w:tcPr>
          <w:p>
            <w:pPr>
              <w:spacing w:line="300" w:lineRule="exact"/>
              <w:jc w:val="right"/>
              <w:rPr>
                <w:rFonts w:ascii="方正书宋_GBK" w:eastAsia="方正书宋_GBK" w:cs="Times New Roman"/>
              </w:rPr>
            </w:pPr>
          </w:p>
        </w:tc>
        <w:tc>
          <w:tcPr>
            <w:tcW w:w="1997" w:type="dxa"/>
            <w:shd w:val="clear" w:color="auto" w:fill="auto"/>
            <w:vAlign w:val="center"/>
          </w:tcPr>
          <w:p>
            <w:pPr>
              <w:spacing w:line="300" w:lineRule="exact"/>
              <w:jc w:val="left"/>
              <w:rPr>
                <w:rFonts w:ascii="方正书宋_GBK" w:eastAsia="方正书宋_GBK" w:cs="Times New Roman"/>
              </w:rPr>
            </w:pPr>
          </w:p>
        </w:tc>
        <w:tc>
          <w:tcPr>
            <w:tcW w:w="1069" w:type="dxa"/>
            <w:shd w:val="clear" w:color="auto" w:fill="auto"/>
            <w:vAlign w:val="center"/>
          </w:tcPr>
          <w:p>
            <w:pPr>
              <w:spacing w:line="300" w:lineRule="exact"/>
              <w:jc w:val="left"/>
              <w:rPr>
                <w:rFonts w:ascii="方正书宋_GBK" w:eastAsia="方正书宋_GBK" w:cs="Times New Roman"/>
              </w:rPr>
            </w:pPr>
          </w:p>
        </w:tc>
        <w:tc>
          <w:tcPr>
            <w:tcW w:w="818" w:type="dxa"/>
            <w:shd w:val="clear" w:color="auto" w:fill="auto"/>
            <w:vAlign w:val="center"/>
          </w:tcPr>
          <w:p>
            <w:pPr>
              <w:spacing w:line="300" w:lineRule="exact"/>
              <w:jc w:val="center"/>
              <w:rPr>
                <w:rFonts w:ascii="方正书宋_GBK" w:eastAsia="方正书宋_GBK" w:cs="Times New Roman"/>
              </w:rPr>
            </w:pPr>
          </w:p>
        </w:tc>
        <w:tc>
          <w:tcPr>
            <w:tcW w:w="720" w:type="dxa"/>
            <w:shd w:val="clear" w:color="auto" w:fill="auto"/>
            <w:vAlign w:val="center"/>
          </w:tcPr>
          <w:p>
            <w:pPr>
              <w:spacing w:line="300" w:lineRule="exact"/>
              <w:jc w:val="right"/>
              <w:rPr>
                <w:rFonts w:ascii="方正书宋_GBK" w:eastAsia="方正书宋_GBK" w:cs="Times New Roman"/>
              </w:rPr>
            </w:pPr>
          </w:p>
        </w:tc>
        <w:tc>
          <w:tcPr>
            <w:tcW w:w="971" w:type="dxa"/>
            <w:shd w:val="clear" w:color="auto" w:fill="auto"/>
            <w:vAlign w:val="center"/>
          </w:tcPr>
          <w:p>
            <w:pPr>
              <w:spacing w:line="300" w:lineRule="exact"/>
              <w:jc w:val="right"/>
              <w:rPr>
                <w:rFonts w:ascii="方正书宋_GBK" w:eastAsia="方正书宋_GBK" w:cs="Times New Roman"/>
              </w:rPr>
            </w:pPr>
          </w:p>
        </w:tc>
        <w:tc>
          <w:tcPr>
            <w:tcW w:w="1167" w:type="dxa"/>
            <w:shd w:val="clear" w:color="auto" w:fill="auto"/>
            <w:vAlign w:val="center"/>
          </w:tcPr>
          <w:p>
            <w:pPr>
              <w:spacing w:line="300" w:lineRule="exact"/>
              <w:jc w:val="right"/>
              <w:rPr>
                <w:rFonts w:ascii="方正书宋_GBK" w:eastAsia="方正书宋_GBK" w:cs="Times New Roman"/>
              </w:rPr>
            </w:pPr>
          </w:p>
        </w:tc>
        <w:tc>
          <w:tcPr>
            <w:tcW w:w="1168" w:type="dxa"/>
            <w:shd w:val="clear" w:color="auto" w:fill="auto"/>
            <w:vAlign w:val="center"/>
          </w:tcPr>
          <w:p>
            <w:pPr>
              <w:spacing w:line="300" w:lineRule="exact"/>
              <w:jc w:val="right"/>
              <w:rPr>
                <w:rFonts w:ascii="方正书宋_GBK" w:eastAsia="方正书宋_GBK" w:cs="Times New Roman"/>
              </w:rPr>
            </w:pPr>
          </w:p>
        </w:tc>
        <w:tc>
          <w:tcPr>
            <w:tcW w:w="916" w:type="dxa"/>
            <w:shd w:val="clear" w:color="auto" w:fill="auto"/>
            <w:vAlign w:val="center"/>
          </w:tcPr>
          <w:p>
            <w:pPr>
              <w:spacing w:line="300" w:lineRule="exact"/>
              <w:jc w:val="right"/>
              <w:rPr>
                <w:rFonts w:ascii="方正书宋_GBK" w:eastAsia="方正书宋_GBK" w:cs="Times New Roman"/>
              </w:rPr>
            </w:pPr>
          </w:p>
        </w:tc>
        <w:tc>
          <w:tcPr>
            <w:tcW w:w="1331" w:type="dxa"/>
            <w:shd w:val="clear" w:color="auto" w:fill="auto"/>
            <w:vAlign w:val="center"/>
          </w:tcPr>
          <w:p>
            <w:pPr>
              <w:spacing w:line="300" w:lineRule="exact"/>
              <w:jc w:val="right"/>
              <w:rPr>
                <w:rFonts w:ascii="方正书宋_GBK" w:eastAsia="方正书宋_GBK" w:cs="Times New Roman"/>
              </w:rPr>
            </w:pPr>
          </w:p>
        </w:tc>
        <w:tc>
          <w:tcPr>
            <w:tcW w:w="982" w:type="dxa"/>
            <w:shd w:val="clear" w:color="auto" w:fill="auto"/>
            <w:vAlign w:val="center"/>
          </w:tcPr>
          <w:p>
            <w:pPr>
              <w:spacing w:line="300" w:lineRule="exact"/>
              <w:jc w:val="right"/>
              <w:rPr>
                <w:rFonts w:ascii="方正书宋_GBK" w:eastAsia="方正书宋_GBK" w:cs="Times New Roman"/>
              </w:rPr>
            </w:pPr>
          </w:p>
        </w:tc>
        <w:tc>
          <w:tcPr>
            <w:tcW w:w="690"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香河县安平镇人民政府</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1110.48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lang w:val="en-US" w:eastAsia="zh-CN"/>
              </w:rPr>
              <w:t>安平镇人民政府</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截止时间：2021年12月31日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1110.48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宋体" w:hAnsi="宋体" w:eastAsia="宋体" w:cs="宋体"/>
                <w:kern w:val="0"/>
                <w:sz w:val="22"/>
                <w:lang w:val="en-US" w:eastAsia="zh-CN"/>
              </w:rPr>
              <w:t>2353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156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宋体" w:hAnsi="宋体" w:eastAsia="宋体" w:cs="宋体"/>
                <w:kern w:val="0"/>
                <w:sz w:val="22"/>
                <w:lang w:val="en-US" w:eastAsia="zh-CN"/>
              </w:rPr>
              <w:t>1746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128.29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101.11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10035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rPr>
            </w:pPr>
            <w:r>
              <w:rPr>
                <w:rFonts w:hint="eastAsia" w:ascii="Times New Roman" w:hAnsi="Times New Roman" w:eastAsia="仿宋_GB2312" w:cs="Times New Roman"/>
                <w:sz w:val="22"/>
                <w:lang w:val="en-US" w:eastAsia="zh-CN"/>
              </w:rPr>
              <w:t>853.37</w:t>
            </w:r>
            <w:bookmarkStart w:id="3" w:name="_GoBack"/>
            <w:bookmarkEnd w:id="3"/>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31008A1-0059-4FF6-BC64-68515C8EAC4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B60CBFC-D4F2-4BBC-B317-BE62B3F02638}"/>
  </w:font>
  <w:font w:name="方正书宋_GBK">
    <w:panose1 w:val="02000000000000000000"/>
    <w:charset w:val="86"/>
    <w:family w:val="script"/>
    <w:pitch w:val="default"/>
    <w:sig w:usb0="A00002BF" w:usb1="38CF7CFA" w:usb2="00082016" w:usb3="00000000" w:csb0="00040001" w:csb1="00000000"/>
    <w:embedRegular r:id="rId3" w:fontKey="{FC161DBD-7E07-4CBA-9EEF-103C104255E2}"/>
  </w:font>
  <w:font w:name="仿宋_GB2312">
    <w:altName w:val="仿宋"/>
    <w:panose1 w:val="02010609030101010101"/>
    <w:charset w:val="86"/>
    <w:family w:val="modern"/>
    <w:pitch w:val="default"/>
    <w:sig w:usb0="00000000" w:usb1="00000000" w:usb2="00000010" w:usb3="00000000" w:csb0="00040000" w:csb1="00000000"/>
    <w:embedRegular r:id="rId4" w:fontKey="{99D37C25-BC24-4ED1-AAAA-C98750B932ED}"/>
  </w:font>
  <w:font w:name="方正小标宋简体">
    <w:panose1 w:val="02000000000000000000"/>
    <w:charset w:val="86"/>
    <w:family w:val="auto"/>
    <w:pitch w:val="default"/>
    <w:sig w:usb0="A00002BF" w:usb1="184F6CFA" w:usb2="00000012" w:usb3="00000000" w:csb0="00040001" w:csb1="00000000"/>
    <w:embedRegular r:id="rId5" w:fontKey="{1150CB46-3BD0-49A4-A2B1-6200F6FC212B}"/>
  </w:font>
  <w:font w:name="楷体_GB2312">
    <w:altName w:val="楷体"/>
    <w:panose1 w:val="02010609030101010101"/>
    <w:charset w:val="86"/>
    <w:family w:val="modern"/>
    <w:pitch w:val="default"/>
    <w:sig w:usb0="00000000" w:usb1="00000000" w:usb2="00000010" w:usb3="00000000" w:csb0="00040000" w:csb1="00000000"/>
    <w:embedRegular r:id="rId6" w:fontKey="{AA9CE715-706D-4DDB-94D2-2983D510A45B}"/>
  </w:font>
  <w:font w:name="仿宋">
    <w:panose1 w:val="02010609060101010101"/>
    <w:charset w:val="86"/>
    <w:family w:val="auto"/>
    <w:pitch w:val="default"/>
    <w:sig w:usb0="800002BF" w:usb1="38CF7CFA" w:usb2="00000016" w:usb3="00000000" w:csb0="00040001" w:csb1="00000000"/>
    <w:embedRegular r:id="rId7" w:fontKey="{09AFD583-E5B3-4D67-A1BD-D0924FD6E149}"/>
  </w:font>
  <w:font w:name="方正小标宋_GBK">
    <w:panose1 w:val="02000000000000000000"/>
    <w:charset w:val="86"/>
    <w:family w:val="script"/>
    <w:pitch w:val="default"/>
    <w:sig w:usb0="A00002BF" w:usb1="38CF7CFA" w:usb2="00082016" w:usb3="00000000" w:csb0="00040001" w:csb1="00000000"/>
    <w:embedRegular r:id="rId8" w:fontKey="{3D3A863A-98C3-457D-BC17-6CE1ACF0B752}"/>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925C39"/>
    <w:multiLevelType w:val="singleLevel"/>
    <w:tmpl w:val="EA925C39"/>
    <w:lvl w:ilvl="0" w:tentative="0">
      <w:start w:val="1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iOTc1MWNhMDI3ZDBiZDcwYjYyMGEyOTg3Y2QzYzQifQ=="/>
  </w:docVars>
  <w:rsids>
    <w:rsidRoot w:val="00D347CC"/>
    <w:rsid w:val="00007D86"/>
    <w:rsid w:val="000724DB"/>
    <w:rsid w:val="000F051B"/>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E67B1"/>
    <w:rsid w:val="00F04CCB"/>
    <w:rsid w:val="00F85553"/>
    <w:rsid w:val="02D4558A"/>
    <w:rsid w:val="123D0D6C"/>
    <w:rsid w:val="1FB708A2"/>
    <w:rsid w:val="22835CF3"/>
    <w:rsid w:val="277B343D"/>
    <w:rsid w:val="357B4D43"/>
    <w:rsid w:val="44520D71"/>
    <w:rsid w:val="4A800DFF"/>
    <w:rsid w:val="4BDD5341"/>
    <w:rsid w:val="50274C9F"/>
    <w:rsid w:val="520F0FCD"/>
    <w:rsid w:val="54734AA2"/>
    <w:rsid w:val="55DE41DE"/>
    <w:rsid w:val="66D67249"/>
    <w:rsid w:val="6C851AC5"/>
    <w:rsid w:val="6E805FB1"/>
    <w:rsid w:val="7D763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character" w:customStyle="1" w:styleId="13">
    <w:name w:val="font3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27</Pages>
  <Words>13947</Words>
  <Characters>14735</Characters>
  <Lines>23</Lines>
  <Paragraphs>6</Paragraphs>
  <TotalTime>12</TotalTime>
  <ScaleCrop>false</ScaleCrop>
  <LinksUpToDate>false</LinksUpToDate>
  <CharactersWithSpaces>14804</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2023-10-11T03:43:37Z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03B411D7A2BF428E973003D49DE1B2FC</vt:lpwstr>
  </property>
</Properties>
</file>